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pPr>
      <w:bookmarkStart w:id="0" w:name="_Hlk205129180"/>
      <w:r>
        <w:t>Anlage A)</w:t>
      </w:r>
      <w:r>
        <w:tab/>
      </w:r>
    </w:p>
    <w:bookmarkEnd w:id="0"/>
    <w:p>
      <w:pPr>
        <w:pStyle w:val="Titel"/>
      </w:pPr>
      <w:r>
        <w:t>Bestimmungen für die Förderung im Kleinprojektefonds</w:t>
      </w:r>
    </w:p>
    <w:p>
      <w:pPr>
        <w:pStyle w:val="berschrift2"/>
      </w:pPr>
      <w:bookmarkStart w:id="1" w:name="_Hlk205128986"/>
      <w:r>
        <w:t xml:space="preserve">Mittelweiterleitung an eine gemeinnützige Körperschaft </w:t>
      </w:r>
    </w:p>
    <w:bookmarkEnd w:id="1"/>
    <w:p>
      <w:pPr>
        <w:pStyle w:val="Einzug2"/>
        <w:widowControl w:val="0"/>
        <w:numPr>
          <w:ilvl w:val="0"/>
          <w:numId w:val="0"/>
        </w:numPr>
        <w:spacing w:line="288" w:lineRule="auto"/>
        <w:jc w:val="right"/>
        <w:rPr>
          <w:rFonts w:cs="Arial"/>
        </w:rPr>
      </w:pPr>
    </w:p>
    <w:p>
      <w:pPr>
        <w:rPr>
          <w:sz w:val="22"/>
          <w:szCs w:val="22"/>
        </w:rPr>
      </w:pPr>
      <w:r>
        <w:rPr>
          <w:sz w:val="22"/>
          <w:szCs w:val="22"/>
        </w:rPr>
        <w:t xml:space="preserve">Im Kleinprojektefonds werden nichtkommerzielle kleine Kulturprojekte in Dörfern und kleinen Städten der </w:t>
      </w:r>
      <w:proofErr w:type="spellStart"/>
      <w:r>
        <w:rPr>
          <w:sz w:val="22"/>
          <w:szCs w:val="22"/>
        </w:rPr>
        <w:t>Aller.Land</w:t>
      </w:r>
      <w:proofErr w:type="spellEnd"/>
      <w:r>
        <w:rPr>
          <w:sz w:val="22"/>
          <w:szCs w:val="22"/>
        </w:rPr>
        <w:t xml:space="preserve">-Region gefördert, die eine aktive Beteiligung interessierter Menschen ermöglichen, indem sie Interessierte in die Gestaltung des Projektes einbeziehen. </w:t>
      </w:r>
    </w:p>
    <w:p>
      <w:pPr>
        <w:pStyle w:val="Einzug2"/>
        <w:widowControl w:val="0"/>
        <w:numPr>
          <w:ilvl w:val="0"/>
          <w:numId w:val="0"/>
        </w:numPr>
        <w:spacing w:line="288" w:lineRule="auto"/>
        <w:rPr>
          <w:rFonts w:cs="Arial"/>
        </w:rPr>
      </w:pPr>
    </w:p>
    <w:p>
      <w:pPr>
        <w:pStyle w:val="Einzug2"/>
        <w:widowControl w:val="0"/>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cs="Arial"/>
          <w:b/>
          <w:bCs/>
        </w:rPr>
      </w:pPr>
      <w:r>
        <w:rPr>
          <w:rFonts w:cs="Arial"/>
          <w:b/>
          <w:bCs/>
        </w:rPr>
        <w:t>Erster Teil zum Ausfüllen</w:t>
      </w:r>
    </w:p>
    <w:p>
      <w:pPr>
        <w:pStyle w:val="Einzug2"/>
        <w:widowControl w:val="0"/>
        <w:numPr>
          <w:ilvl w:val="0"/>
          <w:numId w:val="0"/>
        </w:numPr>
        <w:spacing w:line="288" w:lineRule="auto"/>
        <w:rPr>
          <w:rFonts w:cs="Arial"/>
        </w:rPr>
      </w:pPr>
    </w:p>
    <w:tbl>
      <w:tblPr>
        <w:tblStyle w:val="Tabellenraster"/>
        <w:tblW w:w="0" w:type="auto"/>
        <w:tblLook w:val="04A0" w:firstRow="1" w:lastRow="0" w:firstColumn="1" w:lastColumn="0" w:noHBand="0" w:noVBand="1"/>
      </w:tblPr>
      <w:tblGrid>
        <w:gridCol w:w="4530"/>
        <w:gridCol w:w="4530"/>
      </w:tblGrid>
      <w:tr>
        <w:tc>
          <w:tcPr>
            <w:tcW w:w="4531" w:type="dxa"/>
          </w:tcPr>
          <w:p>
            <w:pPr>
              <w:widowControl w:val="0"/>
              <w:spacing w:before="240" w:line="288" w:lineRule="auto"/>
              <w:rPr>
                <w:rFonts w:ascii="Arial" w:hAnsi="Arial" w:cs="Arial"/>
                <w:sz w:val="22"/>
                <w:szCs w:val="22"/>
                <w:highlight w:val="yellow"/>
              </w:rPr>
            </w:pPr>
            <w:r>
              <w:rPr>
                <w:rFonts w:ascii="Arial" w:hAnsi="Arial" w:cs="Arial"/>
                <w:sz w:val="22"/>
                <w:szCs w:val="22"/>
              </w:rPr>
              <w:t xml:space="preserve">Name des </w:t>
            </w:r>
            <w:bookmarkStart w:id="2" w:name="_Hlk203728520"/>
            <w:r>
              <w:rPr>
                <w:rFonts w:ascii="Arial" w:hAnsi="Arial" w:cs="Arial"/>
                <w:sz w:val="22"/>
                <w:szCs w:val="22"/>
              </w:rPr>
              <w:t xml:space="preserve">Zuwendungsempfängers des </w:t>
            </w:r>
            <w:proofErr w:type="spellStart"/>
            <w:r>
              <w:rPr>
                <w:rFonts w:ascii="Arial" w:hAnsi="Arial" w:cs="Arial"/>
                <w:sz w:val="22"/>
                <w:szCs w:val="22"/>
              </w:rPr>
              <w:t>Aller.Land</w:t>
            </w:r>
            <w:proofErr w:type="spellEnd"/>
            <w:r>
              <w:rPr>
                <w:rFonts w:ascii="Arial" w:hAnsi="Arial" w:cs="Arial"/>
                <w:sz w:val="22"/>
                <w:szCs w:val="22"/>
              </w:rPr>
              <w:t>-Projektes</w:t>
            </w:r>
            <w:bookmarkEnd w:id="2"/>
          </w:p>
        </w:tc>
        <w:tc>
          <w:tcPr>
            <w:tcW w:w="4531" w:type="dxa"/>
          </w:tcPr>
          <w:p>
            <w:pPr>
              <w:widowControl w:val="0"/>
              <w:spacing w:before="240" w:line="288" w:lineRule="auto"/>
              <w:jc w:val="both"/>
              <w:rPr>
                <w:rFonts w:ascii="Arial" w:hAnsi="Arial" w:cs="Arial"/>
                <w:sz w:val="22"/>
                <w:szCs w:val="22"/>
              </w:rPr>
            </w:pPr>
            <w:r>
              <w:rPr>
                <w:rFonts w:ascii="Arial" w:hAnsi="Arial" w:cs="Arial"/>
                <w:sz w:val="22"/>
                <w:szCs w:val="22"/>
              </w:rPr>
              <w:t>Landkreis Northeim</w:t>
            </w:r>
          </w:p>
        </w:tc>
      </w:tr>
      <w:tr>
        <w:tc>
          <w:tcPr>
            <w:tcW w:w="4531" w:type="dxa"/>
          </w:tcPr>
          <w:p>
            <w:pPr>
              <w:widowControl w:val="0"/>
              <w:spacing w:before="240" w:line="288" w:lineRule="auto"/>
              <w:jc w:val="both"/>
              <w:rPr>
                <w:rFonts w:ascii="Arial" w:hAnsi="Arial" w:cs="Arial"/>
                <w:sz w:val="22"/>
                <w:szCs w:val="22"/>
              </w:rPr>
            </w:pPr>
            <w:r>
              <w:rPr>
                <w:rFonts w:ascii="Arial" w:hAnsi="Arial" w:cs="Arial"/>
                <w:sz w:val="22"/>
                <w:szCs w:val="22"/>
              </w:rPr>
              <w:t>Straße und Hausnummer</w:t>
            </w:r>
          </w:p>
        </w:tc>
        <w:tc>
          <w:tcPr>
            <w:tcW w:w="4531" w:type="dxa"/>
          </w:tcPr>
          <w:p>
            <w:pPr>
              <w:widowControl w:val="0"/>
              <w:spacing w:before="240" w:line="288" w:lineRule="auto"/>
              <w:jc w:val="both"/>
              <w:rPr>
                <w:rFonts w:ascii="Arial" w:hAnsi="Arial" w:cs="Arial"/>
                <w:sz w:val="22"/>
                <w:szCs w:val="22"/>
              </w:rPr>
            </w:pPr>
            <w:proofErr w:type="spellStart"/>
            <w:r>
              <w:rPr>
                <w:rFonts w:ascii="Arial" w:hAnsi="Arial" w:cs="Arial"/>
                <w:sz w:val="22"/>
                <w:szCs w:val="22"/>
              </w:rPr>
              <w:t>Medenheimer</w:t>
            </w:r>
            <w:proofErr w:type="spellEnd"/>
            <w:r>
              <w:rPr>
                <w:rFonts w:ascii="Arial" w:hAnsi="Arial" w:cs="Arial"/>
                <w:sz w:val="22"/>
                <w:szCs w:val="22"/>
              </w:rPr>
              <w:t xml:space="preserve"> Str. 6/8</w:t>
            </w:r>
          </w:p>
        </w:tc>
      </w:tr>
      <w:tr>
        <w:tc>
          <w:tcPr>
            <w:tcW w:w="4531" w:type="dxa"/>
          </w:tcPr>
          <w:p>
            <w:pPr>
              <w:widowControl w:val="0"/>
              <w:spacing w:before="240" w:line="288" w:lineRule="auto"/>
              <w:jc w:val="both"/>
              <w:rPr>
                <w:rFonts w:ascii="Arial" w:hAnsi="Arial" w:cs="Arial"/>
                <w:sz w:val="22"/>
                <w:szCs w:val="22"/>
              </w:rPr>
            </w:pPr>
            <w:r>
              <w:rPr>
                <w:rFonts w:ascii="Arial" w:hAnsi="Arial" w:cs="Arial"/>
                <w:sz w:val="22"/>
                <w:szCs w:val="22"/>
              </w:rPr>
              <w:t>PLZ und Ort</w:t>
            </w:r>
          </w:p>
        </w:tc>
        <w:tc>
          <w:tcPr>
            <w:tcW w:w="4531" w:type="dxa"/>
          </w:tcPr>
          <w:p>
            <w:pPr>
              <w:widowControl w:val="0"/>
              <w:spacing w:before="240" w:line="288" w:lineRule="auto"/>
              <w:jc w:val="both"/>
              <w:rPr>
                <w:rFonts w:ascii="Arial" w:hAnsi="Arial" w:cs="Arial"/>
                <w:sz w:val="22"/>
                <w:szCs w:val="22"/>
              </w:rPr>
            </w:pPr>
            <w:r>
              <w:rPr>
                <w:rFonts w:ascii="Arial" w:hAnsi="Arial" w:cs="Arial"/>
                <w:sz w:val="22"/>
                <w:szCs w:val="22"/>
              </w:rPr>
              <w:t>37154 Northeim</w:t>
            </w:r>
          </w:p>
        </w:tc>
      </w:tr>
    </w:tbl>
    <w:p>
      <w:pPr>
        <w:pStyle w:val="Einzug2"/>
        <w:widowControl w:val="0"/>
        <w:numPr>
          <w:ilvl w:val="0"/>
          <w:numId w:val="0"/>
        </w:numPr>
        <w:spacing w:line="288" w:lineRule="auto"/>
        <w:rPr>
          <w:rFonts w:cs="Arial"/>
        </w:rPr>
      </w:pPr>
      <w:r>
        <w:rPr>
          <w:rFonts w:cs="Arial"/>
        </w:rPr>
        <w:t xml:space="preserve">(im Folgenden: Zuwendungsempfänger des </w:t>
      </w:r>
      <w:proofErr w:type="spellStart"/>
      <w:r>
        <w:rPr>
          <w:rFonts w:cs="Arial"/>
        </w:rPr>
        <w:t>Aller.Land</w:t>
      </w:r>
      <w:proofErr w:type="spellEnd"/>
      <w:r>
        <w:rPr>
          <w:rFonts w:cs="Arial"/>
        </w:rPr>
        <w:t>-Projektes)</w:t>
      </w: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r>
        <w:rPr>
          <w:rFonts w:cs="Arial"/>
        </w:rPr>
        <w:t>an:</w:t>
      </w:r>
    </w:p>
    <w:tbl>
      <w:tblPr>
        <w:tblStyle w:val="Tabellenraster"/>
        <w:tblW w:w="0" w:type="auto"/>
        <w:tblLook w:val="04A0" w:firstRow="1" w:lastRow="0" w:firstColumn="1" w:lastColumn="0" w:noHBand="0" w:noVBand="1"/>
      </w:tblPr>
      <w:tblGrid>
        <w:gridCol w:w="4530"/>
        <w:gridCol w:w="4530"/>
      </w:tblGrid>
      <w:tr>
        <w:tc>
          <w:tcPr>
            <w:tcW w:w="4531" w:type="dxa"/>
          </w:tcPr>
          <w:p>
            <w:pPr>
              <w:widowControl w:val="0"/>
              <w:spacing w:line="288" w:lineRule="auto"/>
              <w:rPr>
                <w:rFonts w:ascii="Arial" w:hAnsi="Arial" w:cs="Arial"/>
                <w:sz w:val="22"/>
                <w:szCs w:val="22"/>
                <w:highlight w:val="yellow"/>
              </w:rPr>
            </w:pPr>
            <w:r>
              <w:rPr>
                <w:rFonts w:ascii="Arial" w:hAnsi="Arial" w:cs="Arial"/>
                <w:sz w:val="22"/>
                <w:szCs w:val="22"/>
              </w:rPr>
              <w:t>Name des gemeinnützigen Förderempfängers im Kleinprojektefonds</w:t>
            </w:r>
          </w:p>
        </w:tc>
        <w:tc>
          <w:tcPr>
            <w:tcW w:w="4531" w:type="dxa"/>
          </w:tcPr>
          <w:p>
            <w:pPr>
              <w:widowControl w:val="0"/>
              <w:spacing w:line="288" w:lineRule="auto"/>
              <w:jc w:val="both"/>
              <w:rPr>
                <w:rFonts w:ascii="Arial" w:hAnsi="Arial" w:cs="Arial"/>
                <w:sz w:val="22"/>
                <w:szCs w:val="22"/>
              </w:rPr>
            </w:pPr>
          </w:p>
        </w:tc>
      </w:tr>
      <w:tr>
        <w:tc>
          <w:tcPr>
            <w:tcW w:w="4531" w:type="dxa"/>
          </w:tcPr>
          <w:p>
            <w:pPr>
              <w:widowControl w:val="0"/>
              <w:spacing w:line="288" w:lineRule="auto"/>
              <w:jc w:val="both"/>
              <w:rPr>
                <w:rFonts w:ascii="Arial" w:hAnsi="Arial" w:cs="Arial"/>
                <w:sz w:val="22"/>
                <w:szCs w:val="22"/>
              </w:rPr>
            </w:pPr>
            <w:r>
              <w:rPr>
                <w:rFonts w:ascii="Arial" w:hAnsi="Arial" w:cs="Arial"/>
                <w:sz w:val="22"/>
                <w:szCs w:val="22"/>
              </w:rPr>
              <w:t>Straße und Hausnummer</w:t>
            </w:r>
          </w:p>
        </w:tc>
        <w:tc>
          <w:tcPr>
            <w:tcW w:w="4531" w:type="dxa"/>
          </w:tcPr>
          <w:p>
            <w:pPr>
              <w:widowControl w:val="0"/>
              <w:spacing w:line="288" w:lineRule="auto"/>
              <w:jc w:val="both"/>
              <w:rPr>
                <w:rFonts w:ascii="Arial" w:hAnsi="Arial" w:cs="Arial"/>
                <w:sz w:val="22"/>
                <w:szCs w:val="22"/>
              </w:rPr>
            </w:pPr>
          </w:p>
        </w:tc>
      </w:tr>
      <w:tr>
        <w:tc>
          <w:tcPr>
            <w:tcW w:w="4531" w:type="dxa"/>
          </w:tcPr>
          <w:p>
            <w:pPr>
              <w:widowControl w:val="0"/>
              <w:spacing w:line="288" w:lineRule="auto"/>
              <w:jc w:val="both"/>
              <w:rPr>
                <w:rFonts w:ascii="Arial" w:hAnsi="Arial" w:cs="Arial"/>
                <w:sz w:val="22"/>
                <w:szCs w:val="22"/>
              </w:rPr>
            </w:pPr>
            <w:r>
              <w:rPr>
                <w:rFonts w:ascii="Arial" w:hAnsi="Arial" w:cs="Arial"/>
                <w:sz w:val="22"/>
                <w:szCs w:val="22"/>
              </w:rPr>
              <w:t>PLZ und Ort</w:t>
            </w:r>
          </w:p>
        </w:tc>
        <w:tc>
          <w:tcPr>
            <w:tcW w:w="4531" w:type="dxa"/>
          </w:tcPr>
          <w:p>
            <w:pPr>
              <w:widowControl w:val="0"/>
              <w:spacing w:line="288" w:lineRule="auto"/>
              <w:jc w:val="both"/>
              <w:rPr>
                <w:rFonts w:ascii="Arial" w:hAnsi="Arial" w:cs="Arial"/>
                <w:sz w:val="22"/>
                <w:szCs w:val="22"/>
              </w:rPr>
            </w:pPr>
          </w:p>
        </w:tc>
      </w:tr>
    </w:tbl>
    <w:p>
      <w:pPr>
        <w:pStyle w:val="Einzug2"/>
        <w:widowControl w:val="0"/>
        <w:numPr>
          <w:ilvl w:val="0"/>
          <w:numId w:val="0"/>
        </w:numPr>
        <w:spacing w:line="288" w:lineRule="auto"/>
        <w:rPr>
          <w:rFonts w:cs="Arial"/>
        </w:rPr>
      </w:pPr>
      <w:r>
        <w:rPr>
          <w:rFonts w:cs="Arial"/>
        </w:rPr>
        <w:t>(im Folgenden: Förderempfänger)</w:t>
      </w: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r>
        <w:rPr>
          <w:rFonts w:cs="Arial"/>
        </w:rPr>
        <w:t>Der Förderempfänger muss auf dem Boden der freiheitlichen demokratischen Grundordnung stehen sowie eine den Zielen des Grundgesetzes förderliche Arbeit gewährleisten.</w:t>
      </w: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r>
        <w:rPr>
          <w:rFonts w:cs="Arial"/>
        </w:rPr>
        <w:t xml:space="preserve">Ein aktueller </w:t>
      </w:r>
      <w:r>
        <w:rPr>
          <w:rFonts w:cs="Arial"/>
          <w:b/>
          <w:bCs/>
        </w:rPr>
        <w:t>Freistellungsbescheid</w:t>
      </w:r>
      <w:r>
        <w:rPr>
          <w:rFonts w:cs="Arial"/>
        </w:rPr>
        <w:t xml:space="preserve"> liegt vor, ausgestellt am […], ausgestellt von […].</w:t>
      </w: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rPr>
      </w:pPr>
    </w:p>
    <w:p>
      <w:pPr>
        <w:pStyle w:val="Einzug2"/>
        <w:widowControl w:val="0"/>
        <w:numPr>
          <w:ilvl w:val="0"/>
          <w:numId w:val="0"/>
        </w:numPr>
        <w:spacing w:line="288" w:lineRule="auto"/>
        <w:rPr>
          <w:rFonts w:cs="Arial"/>
          <w:b/>
          <w:bCs/>
        </w:rPr>
      </w:pPr>
      <w:r>
        <w:rPr>
          <w:rFonts w:cs="Arial"/>
          <w:b/>
          <w:bCs/>
        </w:rPr>
        <w:t>Angaben zum Projekt</w:t>
      </w:r>
    </w:p>
    <w:p>
      <w:pPr>
        <w:pStyle w:val="Einzug2"/>
        <w:widowControl w:val="0"/>
        <w:numPr>
          <w:ilvl w:val="0"/>
          <w:numId w:val="0"/>
        </w:numPr>
        <w:spacing w:line="288" w:lineRule="auto"/>
        <w:rPr>
          <w:rFonts w:cs="Arial"/>
          <w:b/>
          <w:bCs/>
        </w:rPr>
      </w:pPr>
    </w:p>
    <w:p>
      <w:pPr>
        <w:pStyle w:val="Listenabsatz"/>
        <w:keepLines w:val="0"/>
        <w:numPr>
          <w:ilvl w:val="0"/>
          <w:numId w:val="16"/>
        </w:numPr>
        <w:spacing w:after="0" w:line="288" w:lineRule="auto"/>
        <w:ind w:left="426" w:hanging="426"/>
        <w:contextualSpacing/>
        <w:jc w:val="both"/>
        <w:rPr>
          <w:rFonts w:ascii="Arial" w:hAnsi="Arial" w:cs="Arial"/>
          <w:sz w:val="22"/>
          <w:szCs w:val="22"/>
        </w:rPr>
      </w:pPr>
      <w:r>
        <w:rPr>
          <w:rFonts w:ascii="Arial" w:hAnsi="Arial" w:cs="Arial"/>
          <w:b/>
          <w:bCs/>
          <w:sz w:val="22"/>
          <w:szCs w:val="22"/>
        </w:rPr>
        <w:t>Name des Projektes:</w:t>
      </w:r>
      <w:r>
        <w:rPr>
          <w:rFonts w:ascii="Arial" w:hAnsi="Arial" w:cs="Arial"/>
          <w:sz w:val="22"/>
          <w:szCs w:val="22"/>
        </w:rPr>
        <w:t xml:space="preserve"> </w:t>
      </w:r>
      <w:r>
        <w:rPr>
          <w:rFonts w:ascii="Arial" w:hAnsi="Arial" w:cs="Arial"/>
          <w:sz w:val="22"/>
          <w:szCs w:val="22"/>
          <w:highlight w:val="lightGray"/>
        </w:rPr>
        <w:t>[…]</w:t>
      </w:r>
    </w:p>
    <w:p>
      <w:pPr>
        <w:spacing w:after="0" w:line="288" w:lineRule="auto"/>
        <w:ind w:left="284" w:hanging="284"/>
        <w:jc w:val="both"/>
        <w:rPr>
          <w:rFonts w:ascii="Arial" w:hAnsi="Arial" w:cs="Arial"/>
          <w:b/>
          <w:bCs/>
          <w:sz w:val="22"/>
          <w:szCs w:val="22"/>
        </w:rPr>
      </w:pPr>
    </w:p>
    <w:p>
      <w:pPr>
        <w:pStyle w:val="Listenabsatz"/>
        <w:keepLines w:val="0"/>
        <w:numPr>
          <w:ilvl w:val="0"/>
          <w:numId w:val="16"/>
        </w:numPr>
        <w:spacing w:after="0" w:line="288" w:lineRule="auto"/>
        <w:ind w:left="426" w:hanging="426"/>
        <w:contextualSpacing/>
        <w:jc w:val="both"/>
        <w:rPr>
          <w:rFonts w:ascii="Arial" w:hAnsi="Arial" w:cs="Arial"/>
          <w:sz w:val="22"/>
          <w:szCs w:val="22"/>
        </w:rPr>
      </w:pPr>
      <w:r>
        <w:rPr>
          <w:rFonts w:ascii="Arial" w:hAnsi="Arial" w:cs="Arial"/>
          <w:b/>
          <w:bCs/>
          <w:sz w:val="22"/>
          <w:szCs w:val="22"/>
        </w:rPr>
        <w:t xml:space="preserve">Förderzeitraum </w:t>
      </w:r>
      <w:r>
        <w:rPr>
          <w:rFonts w:ascii="Arial" w:hAnsi="Arial" w:cs="Arial"/>
          <w:sz w:val="22"/>
          <w:szCs w:val="22"/>
        </w:rPr>
        <w:t>beginnt am</w:t>
      </w:r>
      <w:r>
        <w:rPr>
          <w:rFonts w:ascii="Arial" w:hAnsi="Arial" w:cs="Arial"/>
          <w:sz w:val="22"/>
          <w:szCs w:val="22"/>
          <w:highlight w:val="lightGray"/>
        </w:rPr>
        <w:t xml:space="preserve"> […]</w:t>
      </w:r>
      <w:r>
        <w:rPr>
          <w:rFonts w:ascii="Arial" w:hAnsi="Arial" w:cs="Arial"/>
          <w:sz w:val="22"/>
          <w:szCs w:val="22"/>
        </w:rPr>
        <w:t xml:space="preserve"> und endet spätestens am 01.12. des Kalenderjahres.</w:t>
      </w:r>
    </w:p>
    <w:p>
      <w:pPr>
        <w:pStyle w:val="Einzug2"/>
        <w:widowControl w:val="0"/>
        <w:numPr>
          <w:ilvl w:val="0"/>
          <w:numId w:val="0"/>
        </w:numPr>
        <w:spacing w:line="288" w:lineRule="auto"/>
        <w:rPr>
          <w:rFonts w:cs="Arial"/>
        </w:rPr>
      </w:pPr>
      <w:r>
        <w:rPr>
          <w:rFonts w:cs="Arial"/>
        </w:rPr>
        <w:t xml:space="preserve">Der Förderempfänger darf nur während dieses Förderzeitraumes Verbindlichkeiten eingehen und Ausgaben tätigen. </w:t>
      </w:r>
    </w:p>
    <w:p>
      <w:pPr>
        <w:spacing w:after="0" w:line="288" w:lineRule="auto"/>
        <w:jc w:val="both"/>
        <w:rPr>
          <w:rFonts w:ascii="Arial" w:hAnsi="Arial" w:cs="Arial"/>
          <w:sz w:val="22"/>
          <w:szCs w:val="22"/>
        </w:rPr>
      </w:pPr>
    </w:p>
    <w:p>
      <w:pPr>
        <w:pStyle w:val="Listenabsatz"/>
        <w:keepLines w:val="0"/>
        <w:numPr>
          <w:ilvl w:val="0"/>
          <w:numId w:val="16"/>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 xml:space="preserve">Höhe der Förderung: </w:t>
      </w:r>
      <w:r>
        <w:rPr>
          <w:rFonts w:ascii="Arial" w:hAnsi="Arial" w:cs="Arial"/>
          <w:b/>
          <w:bCs/>
          <w:sz w:val="22"/>
          <w:szCs w:val="22"/>
          <w:highlight w:val="lightGray"/>
        </w:rPr>
        <w:t>[… €]</w:t>
      </w:r>
    </w:p>
    <w:p>
      <w:pPr>
        <w:spacing w:after="0" w:line="288" w:lineRule="auto"/>
        <w:jc w:val="both"/>
        <w:rPr>
          <w:rFonts w:ascii="Arial" w:hAnsi="Arial" w:cs="Arial"/>
          <w:sz w:val="22"/>
          <w:szCs w:val="22"/>
        </w:rPr>
      </w:pPr>
    </w:p>
    <w:p>
      <w:pPr>
        <w:pStyle w:val="Listenabsatz"/>
        <w:keepLines w:val="0"/>
        <w:numPr>
          <w:ilvl w:val="0"/>
          <w:numId w:val="16"/>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 xml:space="preserve">Ansprechperson des Förderempfängers / Telefon: </w:t>
      </w:r>
      <w:r>
        <w:rPr>
          <w:rFonts w:ascii="Arial" w:hAnsi="Arial" w:cs="Arial"/>
          <w:b/>
          <w:bCs/>
          <w:sz w:val="22"/>
          <w:szCs w:val="22"/>
          <w:highlight w:val="lightGray"/>
        </w:rPr>
        <w:t>[…]</w:t>
      </w:r>
    </w:p>
    <w:p>
      <w:pPr>
        <w:pStyle w:val="Einzug2"/>
        <w:widowControl w:val="0"/>
        <w:numPr>
          <w:ilvl w:val="0"/>
          <w:numId w:val="0"/>
        </w:numPr>
        <w:spacing w:line="288" w:lineRule="auto"/>
        <w:rPr>
          <w:rFonts w:cs="Arial"/>
        </w:rPr>
      </w:pPr>
    </w:p>
    <w:p>
      <w:pPr>
        <w:pStyle w:val="Listenabsatz"/>
        <w:keepLines w:val="0"/>
        <w:numPr>
          <w:ilvl w:val="0"/>
          <w:numId w:val="16"/>
        </w:numPr>
        <w:spacing w:after="0" w:line="288" w:lineRule="auto"/>
        <w:ind w:left="426" w:hanging="426"/>
        <w:contextualSpacing/>
        <w:jc w:val="both"/>
        <w:rPr>
          <w:rFonts w:ascii="Arial" w:hAnsi="Arial" w:cs="Arial"/>
          <w:sz w:val="22"/>
          <w:szCs w:val="22"/>
        </w:rPr>
      </w:pPr>
      <w:r>
        <w:rPr>
          <w:rFonts w:ascii="Arial" w:hAnsi="Arial" w:cs="Arial"/>
          <w:b/>
          <w:bCs/>
          <w:sz w:val="22"/>
          <w:szCs w:val="22"/>
        </w:rPr>
        <w:t xml:space="preserve">Anlagen </w:t>
      </w:r>
      <w:r>
        <w:rPr>
          <w:rFonts w:ascii="Arial" w:hAnsi="Arial" w:cs="Arial"/>
          <w:sz w:val="22"/>
          <w:szCs w:val="22"/>
        </w:rPr>
        <w:t xml:space="preserve">zu diesen Bestimmungen für die Förderung im Kleinprojektefonds sind der </w:t>
      </w:r>
      <w:r>
        <w:rPr>
          <w:rFonts w:ascii="Arial" w:hAnsi="Arial" w:cs="Arial"/>
          <w:b/>
          <w:bCs/>
          <w:sz w:val="22"/>
          <w:szCs w:val="22"/>
        </w:rPr>
        <w:t>Antrag [</w:t>
      </w:r>
      <w:r>
        <w:rPr>
          <w:rFonts w:ascii="Arial" w:hAnsi="Arial" w:cs="Arial"/>
          <w:sz w:val="22"/>
          <w:szCs w:val="22"/>
        </w:rPr>
        <w:t>und der</w:t>
      </w:r>
      <w:r>
        <w:rPr>
          <w:rFonts w:ascii="Arial" w:hAnsi="Arial" w:cs="Arial"/>
          <w:b/>
          <w:bCs/>
          <w:sz w:val="22"/>
          <w:szCs w:val="22"/>
        </w:rPr>
        <w:t xml:space="preserve"> Kosten- und Finanzierungsplan [vom …] </w:t>
      </w:r>
      <w:r>
        <w:rPr>
          <w:rFonts w:ascii="Arial" w:hAnsi="Arial" w:cs="Arial"/>
          <w:sz w:val="22"/>
          <w:szCs w:val="22"/>
        </w:rPr>
        <w:t xml:space="preserve">(Anlage 1) </w:t>
      </w:r>
      <w:bookmarkStart w:id="3" w:name="_Hlk205468409"/>
      <w:r>
        <w:rPr>
          <w:rFonts w:ascii="Arial" w:hAnsi="Arial" w:cs="Arial"/>
          <w:sz w:val="22"/>
          <w:szCs w:val="22"/>
        </w:rPr>
        <w:t xml:space="preserve">sowie die </w:t>
      </w:r>
      <w:proofErr w:type="spellStart"/>
      <w:r>
        <w:rPr>
          <w:rFonts w:ascii="Arial" w:hAnsi="Arial" w:cs="Arial"/>
          <w:b/>
          <w:bCs/>
          <w:kern w:val="0"/>
          <w:sz w:val="22"/>
          <w:szCs w:val="22"/>
        </w:rPr>
        <w:t>ANBest</w:t>
      </w:r>
      <w:proofErr w:type="spellEnd"/>
      <w:r>
        <w:rPr>
          <w:rFonts w:ascii="Arial" w:hAnsi="Arial" w:cs="Arial"/>
          <w:b/>
          <w:bCs/>
          <w:kern w:val="0"/>
          <w:sz w:val="22"/>
          <w:szCs w:val="22"/>
        </w:rPr>
        <w:t>-P</w:t>
      </w:r>
      <w:r>
        <w:rPr>
          <w:rFonts w:ascii="Arial" w:hAnsi="Arial" w:cs="Arial"/>
          <w:kern w:val="0"/>
          <w:sz w:val="22"/>
          <w:szCs w:val="22"/>
        </w:rPr>
        <w:t xml:space="preserve"> </w:t>
      </w:r>
      <w:r>
        <w:rPr>
          <w:rFonts w:ascii="Arial" w:hAnsi="Arial" w:cs="Arial"/>
          <w:sz w:val="22"/>
          <w:szCs w:val="22"/>
        </w:rPr>
        <w:t>vom 28.06.2024 (Anlage</w:t>
      </w:r>
      <w:r>
        <w:rPr>
          <w:rFonts w:ascii="Arial" w:hAnsi="Arial" w:cs="Arial"/>
          <w:kern w:val="0"/>
          <w:sz w:val="22"/>
          <w:szCs w:val="22"/>
        </w:rPr>
        <w:t xml:space="preserve"> 2)</w:t>
      </w:r>
      <w:r>
        <w:rPr>
          <w:rFonts w:ascii="Arial" w:hAnsi="Arial" w:cs="Arial"/>
          <w:sz w:val="22"/>
          <w:szCs w:val="22"/>
        </w:rPr>
        <w:t xml:space="preserve">. </w:t>
      </w:r>
      <w:bookmarkEnd w:id="3"/>
    </w:p>
    <w:p>
      <w:pPr>
        <w:pStyle w:val="Listenabsatz"/>
        <w:rPr>
          <w:rFonts w:ascii="Arial" w:hAnsi="Arial" w:cs="Arial"/>
          <w:sz w:val="22"/>
          <w:szCs w:val="22"/>
        </w:rPr>
      </w:pPr>
    </w:p>
    <w:p>
      <w:pPr>
        <w:pStyle w:val="Listenabsatz"/>
        <w:keepLines w:val="0"/>
        <w:spacing w:after="0" w:line="288" w:lineRule="auto"/>
        <w:ind w:left="426"/>
        <w:contextualSpacing/>
        <w:jc w:val="both"/>
        <w:rPr>
          <w:rFonts w:ascii="Arial" w:hAnsi="Arial" w:cs="Arial"/>
          <w:sz w:val="22"/>
          <w:szCs w:val="22"/>
        </w:rPr>
      </w:pPr>
    </w:p>
    <w:p>
      <w:pPr>
        <w:pStyle w:val="Einzug2"/>
        <w:widowControl w:val="0"/>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line="288" w:lineRule="auto"/>
        <w:rPr>
          <w:rFonts w:cs="Arial"/>
          <w:b/>
          <w:bCs/>
        </w:rPr>
      </w:pPr>
      <w:r>
        <w:rPr>
          <w:rFonts w:cs="Arial"/>
          <w:b/>
          <w:bCs/>
        </w:rPr>
        <w:t>Zweiter Teil: Fördervertrag</w:t>
      </w:r>
    </w:p>
    <w:p>
      <w:pPr>
        <w:spacing w:after="0" w:line="288" w:lineRule="auto"/>
        <w:jc w:val="center"/>
        <w:rPr>
          <w:rFonts w:ascii="Arial" w:hAnsi="Arial" w:cs="Arial"/>
          <w:b/>
          <w:bCs/>
          <w:sz w:val="22"/>
          <w:szCs w:val="22"/>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Finanzierungsart / Auszahlung</w:t>
      </w:r>
    </w:p>
    <w:p>
      <w:pPr>
        <w:spacing w:after="0" w:line="288" w:lineRule="auto"/>
        <w:jc w:val="both"/>
        <w:rPr>
          <w:rFonts w:ascii="Arial" w:hAnsi="Arial" w:cs="Arial"/>
          <w:sz w:val="22"/>
          <w:szCs w:val="22"/>
        </w:rPr>
      </w:pPr>
      <w:r>
        <w:rPr>
          <w:rFonts w:ascii="Arial" w:hAnsi="Arial" w:cs="Arial"/>
          <w:sz w:val="22"/>
          <w:szCs w:val="22"/>
        </w:rPr>
        <w:t xml:space="preserve">Die Fördermittel werden gemeinnützigen Körperschaften als Festbetragsfinanzierung gewährt. Die Mittel sind zweckgebunden und bestimmt zur Finanzierung der Ausgaben des Projektes, das durch die Projektbeschreibung (Anlage 1.1) und den Kosten- und Finanzierungsplan (Anlage 1.2) beschrieben wird. Es gilt das Verbot der Doppelförderung. </w:t>
      </w:r>
    </w:p>
    <w:p>
      <w:pPr>
        <w:autoSpaceDE w:val="0"/>
        <w:autoSpaceDN w:val="0"/>
        <w:adjustRightInd w:val="0"/>
        <w:spacing w:after="0" w:line="288" w:lineRule="auto"/>
        <w:rPr>
          <w:rFonts w:ascii="Arial" w:hAnsi="Arial"/>
          <w:kern w:val="0"/>
          <w:sz w:val="22"/>
        </w:rPr>
      </w:pPr>
      <w:r>
        <w:rPr>
          <w:rFonts w:ascii="Arial" w:hAnsi="Arial" w:cs="Arial"/>
          <w:kern w:val="0"/>
          <w:sz w:val="22"/>
          <w:szCs w:val="22"/>
        </w:rPr>
        <w:t>Für die Umsetzung des Projektes sind die Regelungen dieses Fördervertrages maßgeblich. Zudem enthalten "Allgemeinen Nebenbestimmungen für Zuwendungen zur Projektförderung“ (</w:t>
      </w:r>
      <w:proofErr w:type="spellStart"/>
      <w:r>
        <w:rPr>
          <w:rFonts w:ascii="Arial" w:hAnsi="Arial" w:cs="Arial"/>
          <w:kern w:val="0"/>
          <w:sz w:val="22"/>
          <w:szCs w:val="22"/>
        </w:rPr>
        <w:t>ANBest</w:t>
      </w:r>
      <w:proofErr w:type="spellEnd"/>
      <w:r>
        <w:rPr>
          <w:rFonts w:ascii="Arial" w:hAnsi="Arial" w:cs="Arial"/>
          <w:kern w:val="0"/>
          <w:sz w:val="22"/>
          <w:szCs w:val="22"/>
        </w:rPr>
        <w:t xml:space="preserve">-P vom 28.06.2024, Anlage 3) alle Bedingungen und Auflagen zum Fördervertrag und sind – soweit zutreffend – im Rahmen der Förderung im Kleinprojektefonds für jeden Förderempfänger verbindlich. </w:t>
      </w:r>
    </w:p>
    <w:p>
      <w:pPr>
        <w:autoSpaceDE w:val="0"/>
        <w:autoSpaceDN w:val="0"/>
        <w:adjustRightInd w:val="0"/>
        <w:spacing w:after="0" w:line="288" w:lineRule="auto"/>
        <w:rPr>
          <w:rFonts w:ascii="Arial" w:hAnsi="Arial" w:cs="Arial"/>
          <w:sz w:val="22"/>
          <w:szCs w:val="22"/>
        </w:rPr>
      </w:pPr>
      <w:r>
        <w:rPr>
          <w:rFonts w:ascii="Arial" w:hAnsi="Arial"/>
          <w:kern w:val="0"/>
          <w:sz w:val="22"/>
        </w:rPr>
        <w:t>Der Förderempfänger erhält die Fördermittel</w:t>
      </w:r>
      <w:r>
        <w:rPr>
          <w:rFonts w:ascii="Arial" w:hAnsi="Arial" w:cs="Arial"/>
          <w:sz w:val="22"/>
          <w:szCs w:val="22"/>
        </w:rPr>
        <w:t xml:space="preserve"> nach Abschluss seines Projektes als so genannte Mittelweiterleitung entsprechend der VV 12 zu §44 BHO. Abweichend von Nr. 1.4 </w:t>
      </w:r>
      <w:proofErr w:type="spellStart"/>
      <w:r>
        <w:rPr>
          <w:rFonts w:ascii="Arial" w:hAnsi="Arial" w:cs="Arial"/>
          <w:sz w:val="22"/>
          <w:szCs w:val="22"/>
        </w:rPr>
        <w:t>ANBest</w:t>
      </w:r>
      <w:proofErr w:type="spellEnd"/>
      <w:r>
        <w:rPr>
          <w:rFonts w:ascii="Arial" w:hAnsi="Arial" w:cs="Arial"/>
          <w:sz w:val="22"/>
          <w:szCs w:val="22"/>
        </w:rPr>
        <w:t xml:space="preserve">-P werden die </w:t>
      </w:r>
      <w:bookmarkStart w:id="4" w:name="ht2"/>
      <w:bookmarkEnd w:id="4"/>
      <w:r>
        <w:rPr>
          <w:rFonts w:ascii="Arial" w:hAnsi="Arial" w:cs="Arial"/>
          <w:sz w:val="22"/>
          <w:szCs w:val="22"/>
        </w:rPr>
        <w:t xml:space="preserve">Fördermittel nach Vorlage des Verwendungsnachweises in einer Summe unter Berücksichtigung etwaiger </w:t>
      </w:r>
      <w:bookmarkStart w:id="5" w:name="ht3"/>
      <w:bookmarkEnd w:id="5"/>
      <w:r>
        <w:rPr>
          <w:rFonts w:ascii="Arial" w:hAnsi="Arial" w:cs="Arial"/>
          <w:sz w:val="22"/>
          <w:szCs w:val="22"/>
        </w:rPr>
        <w:t xml:space="preserve">Änderungen nach Nr. 2 </w:t>
      </w:r>
      <w:proofErr w:type="spellStart"/>
      <w:r>
        <w:rPr>
          <w:rFonts w:ascii="Arial" w:hAnsi="Arial" w:cs="Arial"/>
          <w:sz w:val="22"/>
          <w:szCs w:val="22"/>
        </w:rPr>
        <w:t>ANBest</w:t>
      </w:r>
      <w:proofErr w:type="spellEnd"/>
      <w:r>
        <w:rPr>
          <w:rFonts w:ascii="Arial" w:hAnsi="Arial" w:cs="Arial"/>
          <w:sz w:val="22"/>
          <w:szCs w:val="22"/>
        </w:rPr>
        <w:t>-P ausgezahlt.</w:t>
      </w:r>
    </w:p>
    <w:p>
      <w:pPr>
        <w:pStyle w:val="Listenabsatz"/>
        <w:spacing w:after="0" w:line="288" w:lineRule="auto"/>
        <w:ind w:left="0"/>
        <w:jc w:val="both"/>
        <w:rPr>
          <w:rFonts w:ascii="Arial" w:hAnsi="Arial" w:cs="Arial"/>
          <w:sz w:val="22"/>
          <w:szCs w:val="22"/>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 xml:space="preserve">wirtschaftliche und sparsame Haushaltsführung / Umsatzsteuer / Abgaben und Steuern </w:t>
      </w:r>
    </w:p>
    <w:p>
      <w:pPr>
        <w:spacing w:after="0" w:line="288" w:lineRule="auto"/>
        <w:jc w:val="both"/>
        <w:rPr>
          <w:rFonts w:ascii="Arial" w:hAnsi="Arial" w:cs="Arial"/>
          <w:sz w:val="22"/>
          <w:szCs w:val="22"/>
        </w:rPr>
      </w:pPr>
      <w:r>
        <w:rPr>
          <w:rFonts w:ascii="Arial" w:hAnsi="Arial" w:cs="Arial"/>
          <w:sz w:val="22"/>
          <w:szCs w:val="22"/>
        </w:rPr>
        <w:t xml:space="preserve">Der Förderempfänger setzt die Weiterleitungsmittel wirtschaftlich und sparsam ausschließlich für die Zwecke des beantragten Projektes ein. </w:t>
      </w:r>
    </w:p>
    <w:p>
      <w:pPr>
        <w:spacing w:after="0" w:line="288" w:lineRule="auto"/>
        <w:jc w:val="both"/>
        <w:rPr>
          <w:rFonts w:ascii="Arial" w:hAnsi="Arial" w:cs="Arial"/>
          <w:sz w:val="22"/>
          <w:szCs w:val="22"/>
        </w:rPr>
      </w:pPr>
      <w:r>
        <w:rPr>
          <w:rFonts w:ascii="Arial" w:hAnsi="Arial" w:cs="Arial"/>
          <w:sz w:val="22"/>
          <w:szCs w:val="22"/>
        </w:rPr>
        <w:t xml:space="preserve">Ist der Förderempfänger hinsichtlich der Durchführung des Projektes zum Vorsteuerabzug nach § 15 Umsatzsteuergesetz berechtigt, sind die sich hieraus ergebenden Vorteile bereits im Kosten- und Finanzierungsplan zu berücksichtigen und es dürfen nur die Entgelte (Preise ohne Umsatzsteuer) berücksichtigt werden. </w:t>
      </w:r>
    </w:p>
    <w:p>
      <w:pPr>
        <w:spacing w:after="0" w:line="288" w:lineRule="auto"/>
        <w:jc w:val="both"/>
        <w:rPr>
          <w:rFonts w:ascii="Arial" w:hAnsi="Arial" w:cs="Arial"/>
          <w:sz w:val="22"/>
          <w:szCs w:val="22"/>
        </w:rPr>
      </w:pPr>
      <w:r>
        <w:rPr>
          <w:rFonts w:ascii="Arial" w:hAnsi="Arial" w:cs="Arial"/>
          <w:sz w:val="22"/>
          <w:szCs w:val="22"/>
        </w:rPr>
        <w:t xml:space="preserve">Abgaben und Steuern des Förderempfängers und seiner Mitarbeiter sowie von ihm beauftragter weiterer Personen hat der Förderempfänger eigenverantwortlich zu entrichten. Der </w:t>
      </w:r>
      <w:r>
        <w:rPr>
          <w:rFonts w:ascii="Arial" w:hAnsi="Arial" w:cs="Arial"/>
          <w:sz w:val="22"/>
          <w:szCs w:val="22"/>
        </w:rPr>
        <w:lastRenderedPageBreak/>
        <w:t>Förderempfänger ist für die Einhaltung aller arbeitsrechtlichen, sozialversicherungsrechtlichen und steuerrechtlichen Bestimmungen selbst verantwortlich.</w:t>
      </w:r>
    </w:p>
    <w:p>
      <w:pPr>
        <w:spacing w:after="0" w:line="288" w:lineRule="auto"/>
        <w:jc w:val="both"/>
        <w:rPr>
          <w:rFonts w:ascii="Arial" w:hAnsi="Arial" w:cs="Arial"/>
          <w:sz w:val="22"/>
          <w:szCs w:val="22"/>
        </w:rPr>
      </w:pPr>
      <w:r>
        <w:rPr>
          <w:rFonts w:ascii="Arial" w:hAnsi="Arial" w:cs="Arial"/>
          <w:sz w:val="22"/>
          <w:szCs w:val="22"/>
        </w:rPr>
        <w:t xml:space="preserve">Für ein Projekt, das Mittel im Kleinprojektefonds erhält, dürfen keine weiteren Mittel aus </w:t>
      </w:r>
      <w:bookmarkStart w:id="6" w:name="_Hlk205467966"/>
      <w:r>
        <w:rPr>
          <w:rFonts w:ascii="Arial" w:hAnsi="Arial" w:cs="Arial"/>
          <w:sz w:val="22"/>
          <w:szCs w:val="22"/>
        </w:rPr>
        <w:t xml:space="preserve">den </w:t>
      </w:r>
      <w:bookmarkStart w:id="7" w:name="_Hlk205550747"/>
      <w:r>
        <w:rPr>
          <w:rFonts w:ascii="Arial" w:hAnsi="Arial" w:cs="Arial"/>
          <w:sz w:val="22"/>
          <w:szCs w:val="22"/>
        </w:rPr>
        <w:t xml:space="preserve">Haushalten (u.a. Programmen und Fonds) </w:t>
      </w:r>
      <w:bookmarkEnd w:id="7"/>
      <w:r>
        <w:rPr>
          <w:rFonts w:ascii="Arial" w:hAnsi="Arial" w:cs="Arial"/>
          <w:sz w:val="22"/>
          <w:szCs w:val="22"/>
        </w:rPr>
        <w:t xml:space="preserve">des Beauftragten der Bundesregierung für Kultur und Medien, des Bundesministeriums für Ernährung, Landwirtschaft und Heimat, der Bundeszentrale für politische Bildung </w:t>
      </w:r>
      <w:bookmarkEnd w:id="6"/>
      <w:r>
        <w:rPr>
          <w:rFonts w:ascii="Arial" w:hAnsi="Arial" w:cs="Arial"/>
          <w:sz w:val="22"/>
          <w:szCs w:val="22"/>
        </w:rPr>
        <w:t xml:space="preserve">sowie weiteren Bundesförderprogrammen beantragt werden. </w:t>
      </w:r>
    </w:p>
    <w:p>
      <w:pPr>
        <w:spacing w:after="0" w:line="288" w:lineRule="auto"/>
        <w:jc w:val="both"/>
        <w:rPr>
          <w:rFonts w:ascii="Arial" w:hAnsi="Arial" w:cs="Arial"/>
          <w:sz w:val="22"/>
          <w:szCs w:val="22"/>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Förderziele</w:t>
      </w:r>
    </w:p>
    <w:p>
      <w:pPr>
        <w:pStyle w:val="Einzug2"/>
        <w:widowControl w:val="0"/>
        <w:numPr>
          <w:ilvl w:val="0"/>
          <w:numId w:val="0"/>
        </w:numPr>
        <w:spacing w:line="288" w:lineRule="auto"/>
        <w:rPr>
          <w:rFonts w:cs="Arial"/>
        </w:rPr>
      </w:pPr>
      <w:r>
        <w:rPr>
          <w:rFonts w:cs="Arial"/>
        </w:rPr>
        <w:t xml:space="preserve">Die Förderung im Kleinprojektefonds ist mit folgenden </w:t>
      </w:r>
      <w:r>
        <w:rPr>
          <w:rFonts w:cs="Arial"/>
          <w:iCs/>
        </w:rPr>
        <w:t xml:space="preserve">Förderzielen des Programms </w:t>
      </w:r>
      <w:proofErr w:type="spellStart"/>
      <w:r>
        <w:rPr>
          <w:rFonts w:cs="Arial"/>
          <w:iCs/>
        </w:rPr>
        <w:t>Aller.Land</w:t>
      </w:r>
      <w:proofErr w:type="spellEnd"/>
      <w:r>
        <w:rPr>
          <w:rFonts w:cs="Arial"/>
          <w:iCs/>
        </w:rPr>
        <w:t xml:space="preserve"> verbunden, die zu beachten sind:  </w:t>
      </w:r>
    </w:p>
    <w:p>
      <w:pPr>
        <w:pStyle w:val="Einzug2"/>
        <w:widowControl w:val="0"/>
        <w:numPr>
          <w:ilvl w:val="0"/>
          <w:numId w:val="17"/>
        </w:numPr>
        <w:tabs>
          <w:tab w:val="left" w:pos="709"/>
        </w:tabs>
        <w:spacing w:line="288" w:lineRule="auto"/>
        <w:ind w:left="567" w:hanging="425"/>
        <w:rPr>
          <w:rFonts w:eastAsiaTheme="minorHAnsi" w:cs="Arial"/>
          <w:kern w:val="2"/>
          <w:lang w:eastAsia="en-US"/>
          <w14:ligatures w14:val="standardContextual"/>
        </w:rPr>
      </w:pPr>
      <w:r>
        <w:rPr>
          <w:rFonts w:eastAsiaTheme="minorHAnsi" w:cs="Arial"/>
          <w:kern w:val="2"/>
          <w:lang w:eastAsia="en-US"/>
          <w14:ligatures w14:val="standardContextual"/>
        </w:rPr>
        <w:t xml:space="preserve">Mehr kulturelle Beteiligung und Selbstwirksamkeit: In den </w:t>
      </w:r>
      <w:proofErr w:type="spellStart"/>
      <w:r>
        <w:rPr>
          <w:rFonts w:eastAsiaTheme="minorHAnsi" w:cs="Arial"/>
          <w:kern w:val="2"/>
          <w:lang w:eastAsia="en-US"/>
          <w14:ligatures w14:val="standardContextual"/>
        </w:rPr>
        <w:t>Aller.Land</w:t>
      </w:r>
      <w:proofErr w:type="spellEnd"/>
      <w:r>
        <w:rPr>
          <w:rFonts w:eastAsiaTheme="minorHAnsi" w:cs="Arial"/>
          <w:kern w:val="2"/>
          <w:lang w:eastAsia="en-US"/>
          <w14:ligatures w14:val="standardContextual"/>
        </w:rPr>
        <w:t xml:space="preserve">-Regionen sollen sich viele Menschen in die Gestaltung ihrer Region mit künstlerischen und kulturellen Mitteln einbringen. Die Vorhaben werden von den Kulturaktiven gemeinsam mit den Menschen vor Ort gestaltet. </w:t>
      </w:r>
    </w:p>
    <w:p>
      <w:pPr>
        <w:pStyle w:val="Einzug2"/>
        <w:widowControl w:val="0"/>
        <w:numPr>
          <w:ilvl w:val="0"/>
          <w:numId w:val="17"/>
        </w:numPr>
        <w:tabs>
          <w:tab w:val="left" w:pos="709"/>
        </w:tabs>
        <w:spacing w:line="288" w:lineRule="auto"/>
        <w:ind w:left="567" w:hanging="425"/>
        <w:rPr>
          <w:rFonts w:eastAsiaTheme="minorHAnsi" w:cs="Arial"/>
          <w:kern w:val="2"/>
          <w:lang w:eastAsia="en-US"/>
          <w14:ligatures w14:val="standardContextual"/>
        </w:rPr>
      </w:pPr>
      <w:r>
        <w:rPr>
          <w:rFonts w:eastAsiaTheme="minorHAnsi" w:cs="Arial"/>
          <w:kern w:val="2"/>
          <w:lang w:eastAsia="en-US"/>
          <w14:ligatures w14:val="standardContextual"/>
        </w:rPr>
        <w:t xml:space="preserve">Stärkung des demokratischen Gemeinwesens: In den </w:t>
      </w:r>
      <w:proofErr w:type="spellStart"/>
      <w:r>
        <w:rPr>
          <w:rFonts w:eastAsiaTheme="minorHAnsi" w:cs="Arial"/>
          <w:kern w:val="2"/>
          <w:lang w:eastAsia="en-US"/>
          <w14:ligatures w14:val="standardContextual"/>
        </w:rPr>
        <w:t>Aller.Land</w:t>
      </w:r>
      <w:proofErr w:type="spellEnd"/>
      <w:r>
        <w:rPr>
          <w:rFonts w:eastAsiaTheme="minorHAnsi" w:cs="Arial"/>
          <w:kern w:val="2"/>
          <w:lang w:eastAsia="en-US"/>
          <w14:ligatures w14:val="standardContextual"/>
        </w:rPr>
        <w:t>-Regionen sollen sich viele Menschen aktiv für ein lebendiges Miteinander, Vielfalt und einen demokratischen Austausch, und gegen Extremismus und Ideologien der Ungleichwertigkeit einbringen.</w:t>
      </w:r>
    </w:p>
    <w:p>
      <w:pPr>
        <w:spacing w:after="0" w:line="288" w:lineRule="auto"/>
        <w:jc w:val="both"/>
        <w:rPr>
          <w:rFonts w:ascii="Arial" w:hAnsi="Arial" w:cs="Arial"/>
          <w:sz w:val="22"/>
          <w:szCs w:val="22"/>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 xml:space="preserve">Förderhinweise und Logonutzung </w:t>
      </w:r>
    </w:p>
    <w:p>
      <w:pPr>
        <w:spacing w:after="0" w:line="288" w:lineRule="auto"/>
        <w:jc w:val="both"/>
        <w:rPr>
          <w:rFonts w:ascii="Arial" w:hAnsi="Arial" w:cs="Arial"/>
          <w:sz w:val="22"/>
          <w:szCs w:val="22"/>
        </w:rPr>
      </w:pPr>
      <w:r>
        <w:rPr>
          <w:rFonts w:ascii="Arial" w:hAnsi="Arial" w:cs="Arial"/>
          <w:sz w:val="22"/>
          <w:szCs w:val="22"/>
        </w:rPr>
        <w:t xml:space="preserve">In allen Medien, die sich auf das Projekt beziehen, verwendet der Förderempfänger das Logo des Programms </w:t>
      </w:r>
      <w:proofErr w:type="spellStart"/>
      <w:r>
        <w:rPr>
          <w:rFonts w:ascii="Arial" w:hAnsi="Arial" w:cs="Arial"/>
          <w:sz w:val="22"/>
          <w:szCs w:val="22"/>
        </w:rPr>
        <w:t>Aller.Land</w:t>
      </w:r>
      <w:proofErr w:type="spellEnd"/>
      <w:r>
        <w:rPr>
          <w:rFonts w:ascii="Arial" w:hAnsi="Arial" w:cs="Arial"/>
          <w:sz w:val="22"/>
          <w:szCs w:val="22"/>
        </w:rPr>
        <w:t xml:space="preserve"> und erwähnt das Programm </w:t>
      </w:r>
      <w:proofErr w:type="spellStart"/>
      <w:r>
        <w:rPr>
          <w:rFonts w:ascii="Arial" w:hAnsi="Arial" w:cs="Arial"/>
          <w:sz w:val="22"/>
          <w:szCs w:val="22"/>
        </w:rPr>
        <w:t>Aller.Land</w:t>
      </w:r>
      <w:proofErr w:type="spellEnd"/>
      <w:r>
        <w:rPr>
          <w:rFonts w:ascii="Arial" w:hAnsi="Arial" w:cs="Arial"/>
          <w:sz w:val="22"/>
          <w:szCs w:val="22"/>
        </w:rPr>
        <w:t xml:space="preserve"> mit folgendem Förderhinweis: </w:t>
      </w:r>
    </w:p>
    <w:p>
      <w:pPr>
        <w:spacing w:after="0" w:line="288" w:lineRule="auto"/>
        <w:ind w:left="708"/>
        <w:jc w:val="both"/>
        <w:rPr>
          <w:rFonts w:ascii="Arial" w:hAnsi="Arial" w:cs="Arial"/>
          <w:i/>
          <w:iCs/>
          <w:sz w:val="22"/>
          <w:szCs w:val="22"/>
        </w:rPr>
      </w:pPr>
      <w:r>
        <w:rPr>
          <w:rFonts w:ascii="Arial" w:hAnsi="Arial" w:cs="Arial"/>
          <w:i/>
          <w:iCs/>
          <w:sz w:val="22"/>
          <w:szCs w:val="22"/>
        </w:rPr>
        <w:t xml:space="preserve">Das Projekt [Projekttitel ergänzen] ist Teil des Förderprogramms </w:t>
      </w:r>
      <w:proofErr w:type="spellStart"/>
      <w:r>
        <w:rPr>
          <w:rFonts w:ascii="Arial" w:hAnsi="Arial" w:cs="Arial"/>
          <w:i/>
          <w:iCs/>
          <w:sz w:val="22"/>
          <w:szCs w:val="22"/>
        </w:rPr>
        <w:t>Aller.Land</w:t>
      </w:r>
      <w:proofErr w:type="spellEnd"/>
      <w:r>
        <w:rPr>
          <w:rFonts w:ascii="Arial" w:hAnsi="Arial" w:cs="Arial"/>
          <w:i/>
          <w:iCs/>
          <w:sz w:val="22"/>
          <w:szCs w:val="22"/>
        </w:rPr>
        <w:t xml:space="preserve"> – zusammen gestalten. Strukturen stärken. </w:t>
      </w:r>
    </w:p>
    <w:p>
      <w:pPr>
        <w:pStyle w:val="Einzug2"/>
        <w:widowControl w:val="0"/>
        <w:numPr>
          <w:ilvl w:val="0"/>
          <w:numId w:val="0"/>
        </w:numPr>
        <w:spacing w:line="288" w:lineRule="auto"/>
        <w:rPr>
          <w:rFonts w:cs="Arial"/>
          <w:b/>
          <w:bCs/>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Mitteilungspflichten</w:t>
      </w:r>
    </w:p>
    <w:p>
      <w:pPr>
        <w:pStyle w:val="Einzug2"/>
        <w:widowControl w:val="0"/>
        <w:numPr>
          <w:ilvl w:val="0"/>
          <w:numId w:val="0"/>
        </w:numPr>
        <w:spacing w:line="288" w:lineRule="auto"/>
        <w:jc w:val="left"/>
        <w:rPr>
          <w:rFonts w:cs="Arial"/>
        </w:rPr>
      </w:pPr>
      <w:r>
        <w:rPr>
          <w:rFonts w:cs="Arial"/>
        </w:rPr>
        <w:t xml:space="preserve">Der Förderempfänger verpflichtet sich, dem Zuwendungsempfänger des </w:t>
      </w:r>
      <w:proofErr w:type="spellStart"/>
      <w:r>
        <w:rPr>
          <w:rFonts w:cs="Arial"/>
        </w:rPr>
        <w:t>Aller.Land</w:t>
      </w:r>
      <w:proofErr w:type="spellEnd"/>
      <w:r>
        <w:rPr>
          <w:rFonts w:cs="Arial"/>
        </w:rPr>
        <w:t>-Projektes unverzüglich mitzuteilen, wenn</w:t>
      </w:r>
    </w:p>
    <w:p>
      <w:pPr>
        <w:pStyle w:val="Einzug2"/>
        <w:widowControl w:val="0"/>
        <w:numPr>
          <w:ilvl w:val="0"/>
          <w:numId w:val="17"/>
        </w:numPr>
        <w:tabs>
          <w:tab w:val="left" w:pos="709"/>
        </w:tabs>
        <w:spacing w:line="288" w:lineRule="auto"/>
        <w:ind w:left="567" w:hanging="425"/>
        <w:rPr>
          <w:rFonts w:cs="Arial"/>
        </w:rPr>
      </w:pPr>
      <w:r>
        <w:rPr>
          <w:rFonts w:cs="Arial"/>
        </w:rPr>
        <w:t xml:space="preserve">er weitere Mittel von Dritten erhält, </w:t>
      </w:r>
    </w:p>
    <w:p>
      <w:pPr>
        <w:pStyle w:val="Einzug2"/>
        <w:widowControl w:val="0"/>
        <w:numPr>
          <w:ilvl w:val="0"/>
          <w:numId w:val="17"/>
        </w:numPr>
        <w:tabs>
          <w:tab w:val="left" w:pos="709"/>
        </w:tabs>
        <w:spacing w:line="288" w:lineRule="auto"/>
        <w:ind w:left="567" w:hanging="425"/>
        <w:rPr>
          <w:rFonts w:cs="Arial"/>
        </w:rPr>
      </w:pPr>
      <w:r>
        <w:rPr>
          <w:rFonts w:cs="Arial"/>
        </w:rPr>
        <w:t xml:space="preserve">sich der Verwendungszweck oder maßgebliche Umstände des Projektes ändern, </w:t>
      </w:r>
    </w:p>
    <w:p>
      <w:pPr>
        <w:pStyle w:val="Einzug2"/>
        <w:widowControl w:val="0"/>
        <w:numPr>
          <w:ilvl w:val="0"/>
          <w:numId w:val="17"/>
        </w:numPr>
        <w:tabs>
          <w:tab w:val="left" w:pos="709"/>
        </w:tabs>
        <w:spacing w:line="288" w:lineRule="auto"/>
        <w:ind w:left="567" w:hanging="425"/>
        <w:rPr>
          <w:rFonts w:cs="Arial"/>
        </w:rPr>
      </w:pPr>
      <w:r>
        <w:rPr>
          <w:rFonts w:cs="Arial"/>
        </w:rPr>
        <w:t xml:space="preserve">sich herausstellt, dass der Verwendungszweck nicht oder mit der bewilligten Zuwendung nicht zu erreichen ist, </w:t>
      </w:r>
    </w:p>
    <w:p>
      <w:pPr>
        <w:pStyle w:val="Einzug2"/>
        <w:widowControl w:val="0"/>
        <w:numPr>
          <w:ilvl w:val="0"/>
          <w:numId w:val="17"/>
        </w:numPr>
        <w:tabs>
          <w:tab w:val="left" w:pos="709"/>
        </w:tabs>
        <w:spacing w:line="288" w:lineRule="auto"/>
        <w:ind w:left="567" w:hanging="425"/>
        <w:rPr>
          <w:rFonts w:cs="Arial"/>
        </w:rPr>
      </w:pPr>
      <w:r>
        <w:rPr>
          <w:rFonts w:cs="Arial"/>
        </w:rPr>
        <w:t>ein Insolvenzverfahren über sein Vermögen beantragt oder eröffnet wird,</w:t>
      </w:r>
    </w:p>
    <w:p>
      <w:pPr>
        <w:pStyle w:val="Einzug2"/>
        <w:widowControl w:val="0"/>
        <w:numPr>
          <w:ilvl w:val="0"/>
          <w:numId w:val="17"/>
        </w:numPr>
        <w:tabs>
          <w:tab w:val="left" w:pos="709"/>
        </w:tabs>
        <w:spacing w:line="288" w:lineRule="auto"/>
        <w:ind w:left="567" w:hanging="425"/>
        <w:rPr>
          <w:rFonts w:cs="Arial"/>
        </w:rPr>
      </w:pPr>
      <w:r>
        <w:rPr>
          <w:rFonts w:cs="Arial"/>
        </w:rPr>
        <w:t>wenn sich Tatsachen ergeben, die eine Änderung der steuerlichen Bewertung seiner Tätigkeit betreffen.</w:t>
      </w:r>
    </w:p>
    <w:p>
      <w:pPr>
        <w:pStyle w:val="Einzug2"/>
        <w:widowControl w:val="0"/>
        <w:numPr>
          <w:ilvl w:val="0"/>
          <w:numId w:val="0"/>
        </w:numPr>
        <w:spacing w:line="288" w:lineRule="auto"/>
        <w:ind w:left="1440" w:hanging="731"/>
        <w:jc w:val="left"/>
        <w:rPr>
          <w:rFonts w:cs="Arial"/>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Ordnungsgemäße Buchführung</w:t>
      </w:r>
    </w:p>
    <w:p>
      <w:pPr>
        <w:pStyle w:val="Einzug2"/>
        <w:widowControl w:val="0"/>
        <w:numPr>
          <w:ilvl w:val="0"/>
          <w:numId w:val="0"/>
        </w:numPr>
        <w:spacing w:line="288" w:lineRule="auto"/>
        <w:rPr>
          <w:rFonts w:cs="Arial"/>
        </w:rPr>
      </w:pPr>
      <w:r>
        <w:rPr>
          <w:rFonts w:cs="Arial"/>
        </w:rPr>
        <w:t>Der Förderempfänger ist verpflichtet, die Verwendung der Weiterleitungsmittel unter Beachtung der Grundsätze ordnungsgemäßer Buchführung zu dokumentieren. Belege müssen die im Geschäftsverkehr üblichen Angaben enthalten. Der Förderempfänger hat die Originalbelege (Einnahme- und Ausgabebelege), Verträge und Unterlagen über die Vergabe von Aufträgen mindestens fünf Jahre aufzubewahren.</w:t>
      </w:r>
    </w:p>
    <w:p>
      <w:pPr>
        <w:pStyle w:val="Einzug2"/>
        <w:widowControl w:val="0"/>
        <w:numPr>
          <w:ilvl w:val="0"/>
          <w:numId w:val="0"/>
        </w:numPr>
        <w:spacing w:line="288" w:lineRule="auto"/>
        <w:rPr>
          <w:rFonts w:cs="Arial"/>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Zuwendungsfähigkeit von Ausgaben</w:t>
      </w:r>
    </w:p>
    <w:p>
      <w:pPr>
        <w:spacing w:after="0" w:line="288" w:lineRule="auto"/>
        <w:jc w:val="both"/>
        <w:rPr>
          <w:rFonts w:ascii="Arial" w:hAnsi="Arial" w:cs="Arial"/>
          <w:sz w:val="22"/>
          <w:szCs w:val="22"/>
        </w:rPr>
      </w:pPr>
      <w:r>
        <w:rPr>
          <w:rFonts w:ascii="Arial" w:hAnsi="Arial" w:cs="Arial"/>
          <w:sz w:val="22"/>
          <w:szCs w:val="22"/>
        </w:rPr>
        <w:t xml:space="preserve">Zuwendungsfähig sind folgende Ausgaben: </w:t>
      </w:r>
    </w:p>
    <w:p>
      <w:pPr>
        <w:pStyle w:val="Einzug2"/>
        <w:widowControl w:val="0"/>
        <w:numPr>
          <w:ilvl w:val="1"/>
          <w:numId w:val="18"/>
        </w:numPr>
        <w:tabs>
          <w:tab w:val="left" w:pos="709"/>
        </w:tabs>
        <w:spacing w:line="288" w:lineRule="auto"/>
        <w:ind w:left="567" w:hanging="283"/>
        <w:rPr>
          <w:rFonts w:cs="Arial"/>
        </w:rPr>
      </w:pPr>
      <w:r>
        <w:rPr>
          <w:rFonts w:cs="Arial"/>
        </w:rPr>
        <w:t xml:space="preserve">Sach- und Honorarausgaben </w:t>
      </w:r>
    </w:p>
    <w:p>
      <w:pPr>
        <w:pStyle w:val="Einzug2"/>
        <w:widowControl w:val="0"/>
        <w:numPr>
          <w:ilvl w:val="0"/>
          <w:numId w:val="0"/>
        </w:numPr>
        <w:tabs>
          <w:tab w:val="left" w:pos="709"/>
        </w:tabs>
        <w:spacing w:line="288" w:lineRule="auto"/>
        <w:rPr>
          <w:rFonts w:cs="Arial"/>
        </w:rPr>
      </w:pPr>
      <w:r>
        <w:rPr>
          <w:rFonts w:cs="Arial"/>
        </w:rPr>
        <w:tab/>
        <w:t>Hierbei gilt:</w:t>
      </w:r>
    </w:p>
    <w:p>
      <w:pPr>
        <w:pStyle w:val="Listenabsatz"/>
        <w:keepLines w:val="0"/>
        <w:numPr>
          <w:ilvl w:val="0"/>
          <w:numId w:val="17"/>
        </w:numPr>
        <w:autoSpaceDE w:val="0"/>
        <w:autoSpaceDN w:val="0"/>
        <w:adjustRightInd w:val="0"/>
        <w:spacing w:line="288" w:lineRule="auto"/>
        <w:ind w:left="1066" w:hanging="357"/>
        <w:contextualSpacing/>
        <w:jc w:val="both"/>
        <w:rPr>
          <w:rFonts w:ascii="Arial" w:hAnsi="Arial" w:cs="Arial"/>
          <w:sz w:val="22"/>
          <w:szCs w:val="22"/>
        </w:rPr>
      </w:pPr>
      <w:r>
        <w:rPr>
          <w:rFonts w:ascii="Arial" w:hAnsi="Arial" w:cs="Arial"/>
          <w:sz w:val="22"/>
          <w:szCs w:val="22"/>
        </w:rPr>
        <w:lastRenderedPageBreak/>
        <w:t xml:space="preserve">Für die Vergabe von Aufträgen (Sach- und Honorarausgaben) bis zu einem Wert von 1.000 Euro (netto) sind in der Regel drei Angebote einzuholen (Direktauftrag). Im Zweifel gelten die Regelungen der </w:t>
      </w:r>
      <w:hyperlink w:history="1">
        <w:r>
          <w:rPr>
            <w:rFonts w:ascii="Arial" w:hAnsi="Arial" w:cs="Arial"/>
            <w:sz w:val="22"/>
            <w:szCs w:val="22"/>
          </w:rPr>
          <w:t>Unterschwellenvergabeordnung (</w:t>
        </w:r>
        <w:proofErr w:type="spellStart"/>
        <w:r>
          <w:rPr>
            <w:rFonts w:ascii="Arial" w:hAnsi="Arial" w:cs="Arial"/>
            <w:sz w:val="22"/>
            <w:szCs w:val="22"/>
          </w:rPr>
          <w:t>UVgO</w:t>
        </w:r>
        <w:proofErr w:type="spellEnd"/>
        <w:r>
          <w:rPr>
            <w:rFonts w:ascii="Arial" w:hAnsi="Arial" w:cs="Arial"/>
            <w:sz w:val="22"/>
            <w:szCs w:val="22"/>
          </w:rPr>
          <w:t xml:space="preserve">). </w:t>
        </w:r>
      </w:hyperlink>
      <w:r>
        <w:rPr>
          <w:rFonts w:ascii="Arial" w:hAnsi="Arial" w:cs="Arial"/>
          <w:sz w:val="22"/>
          <w:szCs w:val="22"/>
        </w:rPr>
        <w:t xml:space="preserve">Bei Fragen zu Vergaben nutzen Sie bitte den Leitfaden „Grundzüge der Vergabe“ (anzufordern beim </w:t>
      </w:r>
      <w:r>
        <w:rPr>
          <w:rFonts w:ascii="Arial" w:hAnsi="Arial" w:cs="Arial"/>
          <w:szCs w:val="22"/>
        </w:rPr>
        <w:t>Zuwendungsempfänger</w:t>
      </w:r>
      <w:r>
        <w:rPr>
          <w:rFonts w:ascii="Arial" w:hAnsi="Arial" w:cs="Arial"/>
          <w:sz w:val="22"/>
          <w:szCs w:val="22"/>
        </w:rPr>
        <w:t xml:space="preserve"> des </w:t>
      </w:r>
      <w:proofErr w:type="spellStart"/>
      <w:r>
        <w:rPr>
          <w:rFonts w:ascii="Arial" w:hAnsi="Arial" w:cs="Arial"/>
          <w:sz w:val="22"/>
          <w:szCs w:val="22"/>
        </w:rPr>
        <w:t>Aller.Land</w:t>
      </w:r>
      <w:proofErr w:type="spellEnd"/>
      <w:r>
        <w:rPr>
          <w:rFonts w:ascii="Arial" w:hAnsi="Arial" w:cs="Arial"/>
          <w:sz w:val="22"/>
          <w:szCs w:val="22"/>
        </w:rPr>
        <w:t>-Projektes).</w:t>
      </w:r>
    </w:p>
    <w:p>
      <w:pPr>
        <w:pStyle w:val="Listenabsatz"/>
        <w:keepLines w:val="0"/>
        <w:numPr>
          <w:ilvl w:val="0"/>
          <w:numId w:val="17"/>
        </w:numPr>
        <w:autoSpaceDE w:val="0"/>
        <w:autoSpaceDN w:val="0"/>
        <w:adjustRightInd w:val="0"/>
        <w:spacing w:line="288" w:lineRule="auto"/>
        <w:ind w:left="1066" w:hanging="357"/>
        <w:contextualSpacing/>
        <w:jc w:val="both"/>
        <w:rPr>
          <w:rFonts w:ascii="Arial" w:hAnsi="Arial" w:cs="Arial"/>
          <w:sz w:val="22"/>
          <w:szCs w:val="22"/>
        </w:rPr>
      </w:pPr>
      <w:r>
        <w:rPr>
          <w:rFonts w:ascii="Arial" w:hAnsi="Arial" w:cs="Arial"/>
          <w:sz w:val="22"/>
          <w:szCs w:val="22"/>
        </w:rPr>
        <w:t xml:space="preserve">Honorare sind in einem marktüblichen Rahmen zulässig. Bei Leistungen von professionellen Künstlerinnen, Künstlern und Kreativen muss die Vergütung mindestens einer bundesweiten Empfehlung für Honoraruntergrenzen eines einschlägigen Fach-, Berufs- oder Interessenverbandes der Künstlerinnen, Künstler und Kreativen entsprechen. Die Auswahl trifft der Zuwendungsempfänger des </w:t>
      </w:r>
      <w:proofErr w:type="spellStart"/>
      <w:r>
        <w:rPr>
          <w:rFonts w:ascii="Arial" w:hAnsi="Arial" w:cs="Arial"/>
          <w:sz w:val="22"/>
          <w:szCs w:val="22"/>
        </w:rPr>
        <w:t>Aller.Land</w:t>
      </w:r>
      <w:proofErr w:type="spellEnd"/>
      <w:r>
        <w:rPr>
          <w:rFonts w:ascii="Arial" w:hAnsi="Arial" w:cs="Arial"/>
          <w:sz w:val="22"/>
          <w:szCs w:val="22"/>
        </w:rPr>
        <w:t xml:space="preserve">-Projektes. Bei Fragen zu den Honoraruntergrenzen nutzen Sie bitte den Leitfaden „Honoraruntergrenzen in der Kulturförderung der BKM“ (anzufordern beim Zuwendungsempfänger des </w:t>
      </w:r>
      <w:proofErr w:type="spellStart"/>
      <w:r>
        <w:rPr>
          <w:rFonts w:ascii="Arial" w:hAnsi="Arial" w:cs="Arial"/>
          <w:sz w:val="22"/>
          <w:szCs w:val="22"/>
        </w:rPr>
        <w:t>Aller.Land</w:t>
      </w:r>
      <w:proofErr w:type="spellEnd"/>
      <w:r>
        <w:rPr>
          <w:rFonts w:ascii="Arial" w:hAnsi="Arial" w:cs="Arial"/>
          <w:sz w:val="22"/>
          <w:szCs w:val="22"/>
        </w:rPr>
        <w:t>-Projektes).</w:t>
      </w:r>
    </w:p>
    <w:p>
      <w:pPr>
        <w:pStyle w:val="Einzug2"/>
        <w:widowControl w:val="0"/>
        <w:numPr>
          <w:ilvl w:val="1"/>
          <w:numId w:val="18"/>
        </w:numPr>
        <w:tabs>
          <w:tab w:val="left" w:pos="709"/>
        </w:tabs>
        <w:spacing w:line="288" w:lineRule="auto"/>
        <w:ind w:left="567" w:hanging="283"/>
        <w:rPr>
          <w:rFonts w:cs="Arial"/>
        </w:rPr>
      </w:pPr>
      <w:r>
        <w:rPr>
          <w:rFonts w:cs="Arial"/>
        </w:rPr>
        <w:t xml:space="preserve">Fahrt- und Übernachtungskosten </w:t>
      </w:r>
    </w:p>
    <w:p>
      <w:pPr>
        <w:autoSpaceDE w:val="0"/>
        <w:autoSpaceDN w:val="0"/>
        <w:adjustRightInd w:val="0"/>
        <w:spacing w:after="0" w:line="288" w:lineRule="auto"/>
        <w:ind w:left="709"/>
        <w:jc w:val="both"/>
        <w:rPr>
          <w:rFonts w:ascii="Arial" w:hAnsi="Arial" w:cs="Arial"/>
          <w:sz w:val="22"/>
          <w:szCs w:val="22"/>
        </w:rPr>
      </w:pPr>
      <w:r>
        <w:rPr>
          <w:rFonts w:ascii="Arial" w:hAnsi="Arial" w:cs="Arial"/>
          <w:sz w:val="22"/>
          <w:szCs w:val="22"/>
        </w:rPr>
        <w:t>Im Hinblick auf eine möglichst einfache Handhabung sind im Kleinprojektefonds ausschließlich folgende projektnotwendige Fahrtkosten wie folgt zuwendungsfähig:</w:t>
      </w:r>
    </w:p>
    <w:p>
      <w:pPr>
        <w:pStyle w:val="Listenabsatz"/>
        <w:keepLines w:val="0"/>
        <w:numPr>
          <w:ilvl w:val="0"/>
          <w:numId w:val="17"/>
        </w:numPr>
        <w:autoSpaceDE w:val="0"/>
        <w:autoSpaceDN w:val="0"/>
        <w:adjustRightInd w:val="0"/>
        <w:spacing w:line="288" w:lineRule="auto"/>
        <w:contextualSpacing/>
        <w:jc w:val="both"/>
        <w:rPr>
          <w:rFonts w:ascii="Arial" w:hAnsi="Arial" w:cs="Arial"/>
          <w:sz w:val="22"/>
          <w:szCs w:val="22"/>
        </w:rPr>
      </w:pPr>
      <w:r>
        <w:rPr>
          <w:rFonts w:ascii="Arial" w:hAnsi="Arial" w:cs="Arial"/>
          <w:sz w:val="22"/>
          <w:szCs w:val="22"/>
        </w:rPr>
        <w:t xml:space="preserve">Erstattung von Tickets des ÖPNV bzw. der Bahn 2. Klasse gegen Einreichung der Originalbelege </w:t>
      </w:r>
    </w:p>
    <w:p>
      <w:pPr>
        <w:pStyle w:val="Listenabsatz"/>
        <w:keepLines w:val="0"/>
        <w:numPr>
          <w:ilvl w:val="0"/>
          <w:numId w:val="17"/>
        </w:numPr>
        <w:autoSpaceDE w:val="0"/>
        <w:autoSpaceDN w:val="0"/>
        <w:adjustRightInd w:val="0"/>
        <w:spacing w:after="0" w:line="288" w:lineRule="auto"/>
        <w:ind w:left="1066" w:hanging="357"/>
        <w:contextualSpacing/>
        <w:jc w:val="both"/>
        <w:rPr>
          <w:rFonts w:ascii="Arial" w:hAnsi="Arial" w:cs="Arial"/>
          <w:sz w:val="22"/>
          <w:szCs w:val="22"/>
        </w:rPr>
      </w:pPr>
      <w:r>
        <w:rPr>
          <w:rFonts w:ascii="Arial" w:hAnsi="Arial" w:cs="Arial"/>
          <w:sz w:val="22"/>
          <w:szCs w:val="22"/>
        </w:rPr>
        <w:t>bei Nutzung eines privaten Pkw werden 20 Cent (netto) pro gefahrenen Kilometer bis zu einer maximalen Höhe von 150 Euro (netto) pro Fahrt erstattet</w:t>
      </w:r>
    </w:p>
    <w:p>
      <w:pPr>
        <w:autoSpaceDE w:val="0"/>
        <w:autoSpaceDN w:val="0"/>
        <w:adjustRightInd w:val="0"/>
        <w:spacing w:after="0" w:line="288" w:lineRule="auto"/>
        <w:ind w:left="709"/>
        <w:jc w:val="both"/>
        <w:rPr>
          <w:rFonts w:ascii="Arial" w:hAnsi="Arial" w:cs="Arial"/>
          <w:sz w:val="22"/>
          <w:szCs w:val="22"/>
        </w:rPr>
      </w:pPr>
      <w:r>
        <w:rPr>
          <w:rFonts w:ascii="Arial" w:hAnsi="Arial" w:cs="Arial"/>
          <w:sz w:val="22"/>
          <w:szCs w:val="22"/>
        </w:rPr>
        <w:t>Projektnotwendige Übernachtungskosten sind wie folgt zuwendungsfähig:</w:t>
      </w:r>
    </w:p>
    <w:p>
      <w:pPr>
        <w:pStyle w:val="Listenabsatz"/>
        <w:keepLines w:val="0"/>
        <w:numPr>
          <w:ilvl w:val="0"/>
          <w:numId w:val="17"/>
        </w:numPr>
        <w:autoSpaceDE w:val="0"/>
        <w:autoSpaceDN w:val="0"/>
        <w:adjustRightInd w:val="0"/>
        <w:spacing w:line="288" w:lineRule="auto"/>
        <w:contextualSpacing/>
        <w:jc w:val="both"/>
        <w:rPr>
          <w:rFonts w:ascii="Arial" w:hAnsi="Arial" w:cs="Arial"/>
          <w:sz w:val="22"/>
          <w:szCs w:val="22"/>
        </w:rPr>
      </w:pPr>
      <w:r>
        <w:rPr>
          <w:rFonts w:ascii="Arial" w:hAnsi="Arial" w:cs="Arial"/>
          <w:sz w:val="22"/>
          <w:szCs w:val="22"/>
        </w:rPr>
        <w:t>ohne Beleg (z.B. Hotelrechnung) kann eine Übernachtungspauschale von 20 Euro</w:t>
      </w:r>
      <w:bookmarkStart w:id="8" w:name="_Hlk203801863"/>
      <w:r>
        <w:rPr>
          <w:rFonts w:ascii="Arial" w:hAnsi="Arial" w:cs="Arial"/>
          <w:sz w:val="22"/>
          <w:szCs w:val="22"/>
        </w:rPr>
        <w:t xml:space="preserve"> (brutto) pro Nacht gegen eine Quittung a</w:t>
      </w:r>
      <w:bookmarkEnd w:id="8"/>
      <w:r>
        <w:rPr>
          <w:rFonts w:ascii="Arial" w:hAnsi="Arial" w:cs="Arial"/>
          <w:sz w:val="22"/>
          <w:szCs w:val="22"/>
        </w:rPr>
        <w:t>usbezahlt werden</w:t>
      </w:r>
    </w:p>
    <w:p>
      <w:pPr>
        <w:pStyle w:val="Listenabsatz"/>
        <w:keepLines w:val="0"/>
        <w:numPr>
          <w:ilvl w:val="0"/>
          <w:numId w:val="17"/>
        </w:numPr>
        <w:autoSpaceDE w:val="0"/>
        <w:autoSpaceDN w:val="0"/>
        <w:adjustRightInd w:val="0"/>
        <w:spacing w:line="288" w:lineRule="auto"/>
        <w:contextualSpacing/>
        <w:jc w:val="both"/>
        <w:rPr>
          <w:rFonts w:ascii="Arial" w:hAnsi="Arial" w:cs="Arial"/>
          <w:sz w:val="22"/>
          <w:szCs w:val="22"/>
        </w:rPr>
      </w:pPr>
      <w:r>
        <w:rPr>
          <w:rFonts w:ascii="Arial" w:hAnsi="Arial" w:cs="Arial"/>
          <w:sz w:val="22"/>
          <w:szCs w:val="22"/>
        </w:rPr>
        <w:t xml:space="preserve">mit Beleg (z.B. Hotelrechnung) können bis zu 70 Euro (brutto, ohne Frühstückskosten) erstattet werden </w:t>
      </w:r>
    </w:p>
    <w:p>
      <w:pPr>
        <w:autoSpaceDE w:val="0"/>
        <w:autoSpaceDN w:val="0"/>
        <w:adjustRightInd w:val="0"/>
        <w:spacing w:line="288" w:lineRule="auto"/>
        <w:ind w:left="709"/>
        <w:jc w:val="both"/>
        <w:rPr>
          <w:rFonts w:ascii="Arial" w:hAnsi="Arial" w:cs="Arial"/>
          <w:sz w:val="22"/>
          <w:szCs w:val="22"/>
        </w:rPr>
      </w:pPr>
      <w:bookmarkStart w:id="9" w:name="_Hlk205130826"/>
      <w:r>
        <w:rPr>
          <w:rFonts w:ascii="Arial" w:hAnsi="Arial" w:cs="Arial"/>
          <w:sz w:val="22"/>
          <w:szCs w:val="22"/>
        </w:rPr>
        <w:t>Im Hinblick auf eine möglichst einfache Handhabung können keine weiteren Fahrt- und Übernachtungskosten oder Tagegelder im Kleinprojektefonds abgerechnet werden. Im Zweifel gelten die Regelungen des Bundesreisekostengesetztes (BRKG)</w:t>
      </w:r>
      <w:hyperlink w:history="1">
        <w:r>
          <w:rPr>
            <w:rFonts w:ascii="Arial" w:hAnsi="Arial" w:cs="Arial"/>
            <w:sz w:val="22"/>
            <w:szCs w:val="22"/>
          </w:rPr>
          <w:t xml:space="preserve">. </w:t>
        </w:r>
      </w:hyperlink>
    </w:p>
    <w:bookmarkEnd w:id="9"/>
    <w:p>
      <w:pPr>
        <w:pStyle w:val="Einzug2"/>
        <w:widowControl w:val="0"/>
        <w:numPr>
          <w:ilvl w:val="1"/>
          <w:numId w:val="18"/>
        </w:numPr>
        <w:tabs>
          <w:tab w:val="left" w:pos="709"/>
        </w:tabs>
        <w:spacing w:after="170" w:line="288" w:lineRule="auto"/>
        <w:ind w:left="568" w:hanging="284"/>
        <w:rPr>
          <w:rFonts w:cs="Arial"/>
        </w:rPr>
      </w:pPr>
      <w:r>
        <w:rPr>
          <w:rFonts w:cs="Arial"/>
        </w:rPr>
        <w:t xml:space="preserve">Ausgaben für die Öffentlichkeitsarbeit </w:t>
      </w:r>
    </w:p>
    <w:p>
      <w:pPr>
        <w:pStyle w:val="Einzug2"/>
        <w:widowControl w:val="0"/>
        <w:numPr>
          <w:ilvl w:val="1"/>
          <w:numId w:val="18"/>
        </w:numPr>
        <w:tabs>
          <w:tab w:val="left" w:pos="709"/>
        </w:tabs>
        <w:spacing w:after="170" w:line="288" w:lineRule="auto"/>
        <w:ind w:left="568" w:hanging="284"/>
        <w:rPr>
          <w:rFonts w:cs="Arial"/>
        </w:rPr>
      </w:pPr>
      <w:r>
        <w:rPr>
          <w:rFonts w:cs="Arial"/>
        </w:rPr>
        <w:t xml:space="preserve">Abgaben an künstlerische Verwertungsgesellschaften, z.B. Künstlersozialkasse </w:t>
      </w:r>
    </w:p>
    <w:p>
      <w:pPr>
        <w:pStyle w:val="Einzug2"/>
        <w:widowControl w:val="0"/>
        <w:numPr>
          <w:ilvl w:val="1"/>
          <w:numId w:val="18"/>
        </w:numPr>
        <w:tabs>
          <w:tab w:val="left" w:pos="709"/>
        </w:tabs>
        <w:spacing w:line="288" w:lineRule="auto"/>
        <w:ind w:left="567" w:hanging="283"/>
        <w:rPr>
          <w:rFonts w:cs="Arial"/>
        </w:rPr>
      </w:pPr>
      <w:r>
        <w:rPr>
          <w:rFonts w:cs="Arial"/>
        </w:rPr>
        <w:t>Ausnahme: Speisen und Getränke für ehrenamtliche Gruppen</w:t>
      </w:r>
    </w:p>
    <w:p>
      <w:pPr>
        <w:autoSpaceDE w:val="0"/>
        <w:autoSpaceDN w:val="0"/>
        <w:adjustRightInd w:val="0"/>
        <w:spacing w:line="288" w:lineRule="auto"/>
        <w:ind w:left="709"/>
        <w:jc w:val="both"/>
        <w:rPr>
          <w:rFonts w:ascii="Arial" w:hAnsi="Arial" w:cs="Arial"/>
          <w:sz w:val="22"/>
          <w:szCs w:val="22"/>
        </w:rPr>
      </w:pPr>
      <w:r>
        <w:rPr>
          <w:rFonts w:ascii="Arial" w:hAnsi="Arial" w:cs="Arial"/>
          <w:sz w:val="22"/>
          <w:szCs w:val="22"/>
        </w:rPr>
        <w:t xml:space="preserve">Eine Bewirtung mit Speisen und Getränke in kleinem Umfang für ehrenamtliche Gruppen sind möglich, d.h. wenn die Bewirteten für das Projekt eine Funktion haben, jedoch kein Honorar erhalten. </w:t>
      </w:r>
      <w:bookmarkStart w:id="10" w:name="_Hlk205130879"/>
      <w:r>
        <w:rPr>
          <w:rFonts w:ascii="Arial" w:hAnsi="Arial" w:cs="Arial"/>
          <w:sz w:val="22"/>
          <w:szCs w:val="22"/>
        </w:rPr>
        <w:t xml:space="preserve">Bei Fragen zu Bewirtungen nutzen Sie gerne den Leitfaden „Verfahrensrichtlinien zur Bewirtungspraxis“ (anzufordern beim Zuwendungsempfänger des </w:t>
      </w:r>
      <w:proofErr w:type="spellStart"/>
      <w:r>
        <w:rPr>
          <w:rFonts w:ascii="Arial" w:hAnsi="Arial" w:cs="Arial"/>
          <w:sz w:val="22"/>
          <w:szCs w:val="22"/>
        </w:rPr>
        <w:t>Aller.Land</w:t>
      </w:r>
      <w:proofErr w:type="spellEnd"/>
      <w:r>
        <w:rPr>
          <w:rFonts w:ascii="Arial" w:hAnsi="Arial" w:cs="Arial"/>
          <w:sz w:val="22"/>
          <w:szCs w:val="22"/>
        </w:rPr>
        <w:t>-Projektes)</w:t>
      </w:r>
      <w:bookmarkEnd w:id="10"/>
      <w:r>
        <w:rPr>
          <w:rFonts w:ascii="Arial" w:hAnsi="Arial" w:cs="Arial"/>
          <w:sz w:val="22"/>
          <w:szCs w:val="22"/>
        </w:rPr>
        <w:t>.</w:t>
      </w:r>
    </w:p>
    <w:p>
      <w:pPr>
        <w:pStyle w:val="Einzug2"/>
        <w:widowControl w:val="0"/>
        <w:numPr>
          <w:ilvl w:val="1"/>
          <w:numId w:val="18"/>
        </w:numPr>
        <w:tabs>
          <w:tab w:val="left" w:pos="709"/>
        </w:tabs>
        <w:spacing w:line="288" w:lineRule="auto"/>
        <w:ind w:left="567" w:hanging="283"/>
        <w:rPr>
          <w:rFonts w:cs="Arial"/>
        </w:rPr>
      </w:pPr>
      <w:r>
        <w:rPr>
          <w:rFonts w:cs="Arial"/>
        </w:rPr>
        <w:t>Ausnahme: Anschaffungen mit einem Wert von bis zu 800 Euro (netto)</w:t>
      </w:r>
    </w:p>
    <w:p>
      <w:pPr>
        <w:autoSpaceDE w:val="0"/>
        <w:autoSpaceDN w:val="0"/>
        <w:adjustRightInd w:val="0"/>
        <w:spacing w:line="288" w:lineRule="auto"/>
        <w:ind w:left="709"/>
        <w:jc w:val="both"/>
        <w:rPr>
          <w:rFonts w:ascii="Arial" w:hAnsi="Arial" w:cs="Arial"/>
          <w:sz w:val="22"/>
          <w:szCs w:val="22"/>
        </w:rPr>
      </w:pPr>
      <w:r>
        <w:rPr>
          <w:rFonts w:ascii="Arial" w:hAnsi="Arial" w:cs="Arial"/>
          <w:sz w:val="22"/>
          <w:szCs w:val="22"/>
        </w:rPr>
        <w:t>Auch Anschaffungskosten sind zuwendungsfähig, wenn dargestellt werden kann, dass diese zur Durchführung des Projektes unbedingt notwendig sind und eine nachhaltige Nutzung gewährleistet ist.</w:t>
      </w:r>
    </w:p>
    <w:p>
      <w:pPr>
        <w:widowControl w:val="0"/>
        <w:spacing w:after="0" w:line="288" w:lineRule="auto"/>
        <w:jc w:val="both"/>
        <w:rPr>
          <w:rFonts w:ascii="Arial" w:eastAsia="Times New Roman" w:hAnsi="Arial" w:cs="Arial"/>
          <w:kern w:val="0"/>
          <w:sz w:val="22"/>
          <w:szCs w:val="22"/>
          <w:lang w:eastAsia="de-DE"/>
          <w14:ligatures w14:val="none"/>
        </w:rPr>
      </w:pPr>
      <w:bookmarkStart w:id="11" w:name="_Hlk203801963"/>
      <w:r>
        <w:rPr>
          <w:rFonts w:ascii="Arial" w:hAnsi="Arial" w:cs="Arial"/>
          <w:sz w:val="22"/>
          <w:szCs w:val="22"/>
        </w:rPr>
        <w:t xml:space="preserve">Im Hinblick auf eine möglichst einfache Handhabung sind im Kleinprojektefonds </w:t>
      </w:r>
      <w:r>
        <w:rPr>
          <w:rFonts w:ascii="Arial" w:eastAsia="Times New Roman" w:hAnsi="Arial" w:cs="Arial"/>
          <w:kern w:val="0"/>
          <w:sz w:val="22"/>
          <w:szCs w:val="22"/>
          <w:lang w:eastAsia="de-DE"/>
          <w14:ligatures w14:val="none"/>
        </w:rPr>
        <w:t xml:space="preserve">folgende Ausgaben nicht zuwendungsfähig: </w:t>
      </w:r>
    </w:p>
    <w:bookmarkEnd w:id="11"/>
    <w:p>
      <w:pPr>
        <w:pStyle w:val="Einzug2"/>
        <w:widowControl w:val="0"/>
        <w:numPr>
          <w:ilvl w:val="0"/>
          <w:numId w:val="17"/>
        </w:numPr>
        <w:tabs>
          <w:tab w:val="left" w:pos="709"/>
        </w:tabs>
        <w:spacing w:line="288" w:lineRule="auto"/>
        <w:ind w:left="567" w:hanging="425"/>
        <w:rPr>
          <w:rFonts w:cs="Arial"/>
        </w:rPr>
      </w:pPr>
      <w:r>
        <w:rPr>
          <w:rFonts w:cs="Arial"/>
        </w:rPr>
        <w:t xml:space="preserve">Personalkosten </w:t>
      </w:r>
    </w:p>
    <w:p>
      <w:pPr>
        <w:pStyle w:val="Einzug2"/>
        <w:widowControl w:val="0"/>
        <w:numPr>
          <w:ilvl w:val="0"/>
          <w:numId w:val="17"/>
        </w:numPr>
        <w:tabs>
          <w:tab w:val="left" w:pos="709"/>
        </w:tabs>
        <w:spacing w:line="288" w:lineRule="auto"/>
        <w:ind w:left="567" w:hanging="425"/>
        <w:rPr>
          <w:rFonts w:cs="Arial"/>
        </w:rPr>
      </w:pPr>
      <w:r>
        <w:rPr>
          <w:rFonts w:cs="Arial"/>
        </w:rPr>
        <w:lastRenderedPageBreak/>
        <w:t xml:space="preserve">laufende Betriebskosten </w:t>
      </w:r>
    </w:p>
    <w:p>
      <w:pPr>
        <w:pStyle w:val="Einzug2"/>
        <w:widowControl w:val="0"/>
        <w:numPr>
          <w:ilvl w:val="0"/>
          <w:numId w:val="17"/>
        </w:numPr>
        <w:tabs>
          <w:tab w:val="left" w:pos="709"/>
        </w:tabs>
        <w:spacing w:line="288" w:lineRule="auto"/>
        <w:ind w:left="567" w:hanging="425"/>
        <w:rPr>
          <w:rFonts w:cs="Arial"/>
        </w:rPr>
      </w:pPr>
      <w:r>
        <w:rPr>
          <w:rFonts w:cs="Arial"/>
        </w:rPr>
        <w:t>Aufwendungen für Speisen und Getränke (Ausnahme: Speisen und Getränke für ehrenamtliche Gruppen)</w:t>
      </w:r>
    </w:p>
    <w:p>
      <w:pPr>
        <w:pStyle w:val="Einzug2"/>
        <w:widowControl w:val="0"/>
        <w:numPr>
          <w:ilvl w:val="0"/>
          <w:numId w:val="17"/>
        </w:numPr>
        <w:tabs>
          <w:tab w:val="left" w:pos="709"/>
        </w:tabs>
        <w:spacing w:line="288" w:lineRule="auto"/>
        <w:ind w:left="567" w:hanging="425"/>
        <w:rPr>
          <w:rFonts w:cs="Arial"/>
        </w:rPr>
      </w:pPr>
      <w:r>
        <w:rPr>
          <w:rFonts w:cs="Arial"/>
        </w:rPr>
        <w:t>investive Maßnahmen, z.B. Ausgaben für Ausstattungen, Anschaffungen etc. (Ausnahme: projektnotwendige Anschaffungen mit einem Wert von bis zu 800 Euro netto).</w:t>
      </w:r>
    </w:p>
    <w:p>
      <w:pPr>
        <w:pStyle w:val="Einzug2"/>
        <w:widowControl w:val="0"/>
        <w:numPr>
          <w:ilvl w:val="0"/>
          <w:numId w:val="0"/>
        </w:numPr>
        <w:spacing w:line="288" w:lineRule="auto"/>
        <w:rPr>
          <w:rFonts w:cs="Arial"/>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Verwendungsnachweis</w:t>
      </w:r>
    </w:p>
    <w:p>
      <w:pPr>
        <w:spacing w:after="0"/>
        <w:jc w:val="both"/>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t xml:space="preserve">Im laufenden Kalenderjahr müssen die Förderempfänger spätestens einen Monat nach Projektende einen Verwendungsnachweis beim </w:t>
      </w:r>
      <w:r>
        <w:rPr>
          <w:rFonts w:ascii="Arial" w:hAnsi="Arial" w:cs="Arial"/>
          <w:sz w:val="22"/>
          <w:szCs w:val="22"/>
        </w:rPr>
        <w:t>Zuwendungsempfänger</w:t>
      </w:r>
      <w:r>
        <w:rPr>
          <w:rFonts w:ascii="Arial" w:hAnsi="Arial"/>
          <w:kern w:val="0"/>
          <w:sz w:val="22"/>
          <w14:ligatures w14:val="none"/>
        </w:rPr>
        <w:t xml:space="preserve"> </w:t>
      </w:r>
      <w:r>
        <w:rPr>
          <w:rFonts w:ascii="Arial" w:eastAsia="Times New Roman" w:hAnsi="Arial" w:cs="Arial"/>
          <w:kern w:val="0"/>
          <w:sz w:val="22"/>
          <w:szCs w:val="22"/>
          <w:lang w:eastAsia="de-DE"/>
          <w14:ligatures w14:val="none"/>
        </w:rPr>
        <w:t xml:space="preserve">des </w:t>
      </w:r>
      <w:proofErr w:type="spellStart"/>
      <w:r>
        <w:rPr>
          <w:rFonts w:ascii="Arial" w:eastAsia="Times New Roman" w:hAnsi="Arial" w:cs="Arial"/>
          <w:kern w:val="0"/>
          <w:sz w:val="22"/>
          <w:szCs w:val="22"/>
          <w:lang w:eastAsia="de-DE"/>
          <w14:ligatures w14:val="none"/>
        </w:rPr>
        <w:t>Aller.Land</w:t>
      </w:r>
      <w:proofErr w:type="spellEnd"/>
      <w:r>
        <w:rPr>
          <w:rFonts w:ascii="Arial" w:eastAsia="Times New Roman" w:hAnsi="Arial" w:cs="Arial"/>
          <w:kern w:val="0"/>
          <w:sz w:val="22"/>
          <w:szCs w:val="22"/>
          <w:lang w:eastAsia="de-DE"/>
          <w14:ligatures w14:val="none"/>
        </w:rPr>
        <w:t xml:space="preserve">-Projektes einreichen. Die letztmögliche Frist zur Einreichung des Verwendungsnachweises ist der 01.12. eines Kalenderjahres. Der Verwendungsnachweis besteht aus einem Sachbericht sowie einer zahlenmäßigen Aufstellung der Einnahmen und der tatsächlich entstandenen Kosten mit einer Belegliste. Hierzu ist das bereitgestellte Formular zu verwenden. </w:t>
      </w:r>
    </w:p>
    <w:p>
      <w:pPr>
        <w:pStyle w:val="Einzug2"/>
        <w:widowControl w:val="0"/>
        <w:numPr>
          <w:ilvl w:val="0"/>
          <w:numId w:val="0"/>
        </w:numPr>
        <w:spacing w:line="288" w:lineRule="auto"/>
        <w:rPr>
          <w:rFonts w:cs="Arial"/>
        </w:rPr>
      </w:pPr>
      <w:r>
        <w:rPr>
          <w:rFonts w:eastAsiaTheme="minorHAnsi" w:cs="Arial"/>
          <w:kern w:val="2"/>
          <w:lang w:eastAsia="en-US"/>
          <w14:ligatures w14:val="standardContextual"/>
        </w:rPr>
        <w:t>In</w:t>
      </w:r>
      <w:r>
        <w:rPr>
          <w:rFonts w:cs="Arial"/>
        </w:rPr>
        <w:t xml:space="preserve"> dem Sachbericht sind die Verwendung der Förderung sowie das erzielte Ergebnis darzustellen. In dem zahlenmäßigen Nachweis sind die Einnahmen und Ausgaben in zeitlicher Folge und voneinander getrennt entsprechend der Gliederung des Finanzierungsplans auszuweisen. Originalbelege müssen nicht eingereicht werden, können aber vom Zuwendungsempfänger des </w:t>
      </w:r>
      <w:proofErr w:type="spellStart"/>
      <w:r>
        <w:rPr>
          <w:rFonts w:cs="Arial"/>
        </w:rPr>
        <w:t>Aller.Land</w:t>
      </w:r>
      <w:proofErr w:type="spellEnd"/>
      <w:r>
        <w:rPr>
          <w:rFonts w:cs="Arial"/>
        </w:rPr>
        <w:t xml:space="preserve">-Projektes sowie weiteren berechtigten Prüfstellen </w:t>
      </w:r>
      <w:bookmarkStart w:id="12" w:name="_Hlk205470406"/>
      <w:r>
        <w:rPr>
          <w:rFonts w:cs="Arial"/>
        </w:rPr>
        <w:t xml:space="preserve">(u.a. </w:t>
      </w:r>
      <w:proofErr w:type="spellStart"/>
      <w:r>
        <w:rPr>
          <w:rFonts w:cs="Arial"/>
        </w:rPr>
        <w:t>Aller.Land</w:t>
      </w:r>
      <w:proofErr w:type="spellEnd"/>
      <w:r>
        <w:rPr>
          <w:rFonts w:cs="Arial"/>
        </w:rPr>
        <w:t xml:space="preserve">-Programmbüro, Bundesverwaltungsamt, Bundesrechnungshof) </w:t>
      </w:r>
      <w:bookmarkEnd w:id="12"/>
      <w:r>
        <w:rPr>
          <w:rFonts w:cs="Arial"/>
        </w:rPr>
        <w:t xml:space="preserve">bei Bedarf angefordert werden. </w:t>
      </w:r>
    </w:p>
    <w:p>
      <w:pPr>
        <w:pStyle w:val="Einzug2"/>
        <w:widowControl w:val="0"/>
        <w:numPr>
          <w:ilvl w:val="0"/>
          <w:numId w:val="0"/>
        </w:numPr>
        <w:spacing w:line="288" w:lineRule="auto"/>
        <w:rPr>
          <w:rFonts w:cs="Arial"/>
        </w:rPr>
      </w:pPr>
    </w:p>
    <w:p>
      <w:pPr>
        <w:pStyle w:val="Listenabsatz"/>
        <w:keepLines w:val="0"/>
        <w:numPr>
          <w:ilvl w:val="0"/>
          <w:numId w:val="18"/>
        </w:numPr>
        <w:spacing w:after="0" w:line="288" w:lineRule="auto"/>
        <w:ind w:left="426" w:hanging="426"/>
        <w:contextualSpacing/>
        <w:jc w:val="both"/>
        <w:rPr>
          <w:rFonts w:ascii="Arial" w:eastAsia="Times New Roman" w:hAnsi="Arial" w:cs="Arial"/>
          <w:b/>
          <w:bCs/>
          <w:kern w:val="0"/>
          <w:sz w:val="22"/>
          <w:szCs w:val="22"/>
          <w:lang w:eastAsia="de-DE"/>
          <w14:ligatures w14:val="none"/>
        </w:rPr>
      </w:pPr>
      <w:r>
        <w:rPr>
          <w:rFonts w:ascii="Arial" w:eastAsia="Times New Roman" w:hAnsi="Arial" w:cs="Arial"/>
          <w:b/>
          <w:bCs/>
          <w:kern w:val="0"/>
          <w:sz w:val="22"/>
          <w:szCs w:val="22"/>
          <w:lang w:eastAsia="de-DE"/>
          <w14:ligatures w14:val="none"/>
        </w:rPr>
        <w:t>Kündigung und Rücktritt</w:t>
      </w:r>
    </w:p>
    <w:p>
      <w:pPr>
        <w:widowControl w:val="0"/>
        <w:spacing w:after="0" w:line="288" w:lineRule="auto"/>
        <w:jc w:val="both"/>
        <w:rPr>
          <w:rFonts w:ascii="Arial" w:hAnsi="Arial" w:cs="Arial"/>
          <w:b/>
          <w:bCs/>
          <w:sz w:val="22"/>
          <w:szCs w:val="22"/>
        </w:rPr>
      </w:pPr>
      <w:r>
        <w:rPr>
          <w:rFonts w:ascii="Arial" w:eastAsia="Times New Roman" w:hAnsi="Arial" w:cs="Arial"/>
          <w:kern w:val="0"/>
          <w:sz w:val="22"/>
          <w:szCs w:val="22"/>
          <w:lang w:eastAsia="de-DE"/>
          <w14:ligatures w14:val="none"/>
        </w:rPr>
        <w:t xml:space="preserve">Die ordentliche Kündigung ist ausgeschlossen. Der </w:t>
      </w:r>
      <w:r>
        <w:rPr>
          <w:rFonts w:ascii="Arial" w:hAnsi="Arial" w:cs="Arial"/>
          <w:sz w:val="22"/>
          <w:szCs w:val="22"/>
        </w:rPr>
        <w:t>Zuwendungsempfänger</w:t>
      </w:r>
      <w:r>
        <w:rPr>
          <w:rFonts w:ascii="Arial" w:hAnsi="Arial"/>
          <w:sz w:val="22"/>
        </w:rPr>
        <w:t xml:space="preserve"> </w:t>
      </w:r>
      <w:r>
        <w:rPr>
          <w:rFonts w:ascii="Arial" w:eastAsia="Times New Roman" w:hAnsi="Arial" w:cs="Arial"/>
          <w:kern w:val="0"/>
          <w:sz w:val="22"/>
          <w:szCs w:val="22"/>
          <w:lang w:eastAsia="de-DE"/>
          <w14:ligatures w14:val="none"/>
        </w:rPr>
        <w:t xml:space="preserve">des </w:t>
      </w:r>
      <w:proofErr w:type="spellStart"/>
      <w:r>
        <w:rPr>
          <w:rFonts w:ascii="Arial" w:eastAsia="Times New Roman" w:hAnsi="Arial" w:cs="Arial"/>
          <w:kern w:val="0"/>
          <w:sz w:val="22"/>
          <w:szCs w:val="22"/>
          <w:lang w:eastAsia="de-DE"/>
          <w14:ligatures w14:val="none"/>
        </w:rPr>
        <w:t>Aller.Land</w:t>
      </w:r>
      <w:proofErr w:type="spellEnd"/>
      <w:r>
        <w:rPr>
          <w:rFonts w:ascii="Arial" w:eastAsia="Times New Roman" w:hAnsi="Arial" w:cs="Arial"/>
          <w:kern w:val="0"/>
          <w:sz w:val="22"/>
          <w:szCs w:val="22"/>
          <w:lang w:eastAsia="de-DE"/>
          <w14:ligatures w14:val="none"/>
        </w:rPr>
        <w:t>-Projektes kann den Fördervertrag ohne Einhaltung einer Frist aus wichtigem Grund kündigen. Im Falle der Kündigung hat der Förderempfänger die gesamten Fördermittel innerhalb von vier Wochen zurückzuzahlen.</w:t>
      </w:r>
    </w:p>
    <w:p>
      <w:pPr>
        <w:pStyle w:val="Einzug2"/>
        <w:widowControl w:val="0"/>
        <w:numPr>
          <w:ilvl w:val="0"/>
          <w:numId w:val="0"/>
        </w:numPr>
        <w:spacing w:line="288" w:lineRule="auto"/>
        <w:rPr>
          <w:rFonts w:cs="Arial"/>
        </w:rPr>
      </w:pPr>
      <w:r>
        <w:rPr>
          <w:rFonts w:cs="Arial"/>
        </w:rPr>
        <w:t xml:space="preserve">Der Zuwendungsempfänger des </w:t>
      </w:r>
      <w:proofErr w:type="spellStart"/>
      <w:r>
        <w:rPr>
          <w:rFonts w:cs="Arial"/>
        </w:rPr>
        <w:t>Aller.Land</w:t>
      </w:r>
      <w:proofErr w:type="spellEnd"/>
      <w:r>
        <w:rPr>
          <w:rFonts w:cs="Arial"/>
        </w:rPr>
        <w:t xml:space="preserve">-Projektes kann bei Vorliegen einer der nachfolgenden Bedingungen von diesem Fördervertrag ganz oder teilweise zurücktreten, wenn: </w:t>
      </w:r>
    </w:p>
    <w:p>
      <w:pPr>
        <w:pStyle w:val="Einzug2"/>
        <w:widowControl w:val="0"/>
        <w:numPr>
          <w:ilvl w:val="0"/>
          <w:numId w:val="17"/>
        </w:numPr>
        <w:tabs>
          <w:tab w:val="left" w:pos="709"/>
        </w:tabs>
        <w:spacing w:line="288" w:lineRule="auto"/>
        <w:ind w:left="567" w:hanging="425"/>
        <w:rPr>
          <w:rFonts w:cs="Arial"/>
        </w:rPr>
      </w:pPr>
      <w:r>
        <w:rPr>
          <w:rFonts w:cs="Arial"/>
        </w:rPr>
        <w:t>die Voraussetzungen für den Abschluss dieses Fördervertrages nachträglich entfallen sind,</w:t>
      </w:r>
    </w:p>
    <w:p>
      <w:pPr>
        <w:pStyle w:val="Einzug2"/>
        <w:widowControl w:val="0"/>
        <w:numPr>
          <w:ilvl w:val="0"/>
          <w:numId w:val="17"/>
        </w:numPr>
        <w:tabs>
          <w:tab w:val="left" w:pos="709"/>
        </w:tabs>
        <w:spacing w:line="288" w:lineRule="auto"/>
        <w:ind w:left="567" w:hanging="425"/>
        <w:rPr>
          <w:rFonts w:eastAsiaTheme="minorEastAsia" w:cs="Arial"/>
        </w:rPr>
      </w:pPr>
      <w:r>
        <w:rPr>
          <w:rFonts w:cs="Arial"/>
        </w:rPr>
        <w:t xml:space="preserve">der Abschluss dieses Fördervertrages durch Angaben des Förderempfängers zustande gekommen ist, die in wesentlicher Beziehung unrichtig oder unvollständig waren, </w:t>
      </w:r>
    </w:p>
    <w:p>
      <w:pPr>
        <w:pStyle w:val="Einzug2"/>
        <w:widowControl w:val="0"/>
        <w:numPr>
          <w:ilvl w:val="0"/>
          <w:numId w:val="17"/>
        </w:numPr>
        <w:tabs>
          <w:tab w:val="left" w:pos="709"/>
        </w:tabs>
        <w:spacing w:line="288" w:lineRule="auto"/>
        <w:ind w:left="567" w:hanging="425"/>
        <w:rPr>
          <w:rFonts w:eastAsiaTheme="minorEastAsia" w:cs="Arial"/>
        </w:rPr>
      </w:pPr>
      <w:r>
        <w:rPr>
          <w:rFonts w:cs="Arial"/>
        </w:rPr>
        <w:t>der Förderempfänger seine Vertragspflichten nicht oder</w:t>
      </w:r>
      <w:r>
        <w:rPr>
          <w:rFonts w:eastAsiaTheme="minorEastAsia" w:cs="Arial"/>
        </w:rPr>
        <w:t xml:space="preserve"> nicht innerhalb einer durch den </w:t>
      </w:r>
      <w:r>
        <w:rPr>
          <w:rFonts w:cs="Arial"/>
        </w:rPr>
        <w:t xml:space="preserve">Zuwendungsempfänger des </w:t>
      </w:r>
      <w:proofErr w:type="spellStart"/>
      <w:r>
        <w:rPr>
          <w:rFonts w:cs="Arial"/>
        </w:rPr>
        <w:t>Aller.Land</w:t>
      </w:r>
      <w:proofErr w:type="spellEnd"/>
      <w:r>
        <w:rPr>
          <w:rFonts w:cs="Arial"/>
        </w:rPr>
        <w:t xml:space="preserve">-Projektes </w:t>
      </w:r>
      <w:r>
        <w:rPr>
          <w:rFonts w:eastAsiaTheme="minorEastAsia" w:cs="Arial"/>
        </w:rPr>
        <w:t xml:space="preserve">gesetzten Frist erfüllt, </w:t>
      </w:r>
    </w:p>
    <w:p>
      <w:pPr>
        <w:pStyle w:val="Einzug2"/>
        <w:widowControl w:val="0"/>
        <w:numPr>
          <w:ilvl w:val="0"/>
          <w:numId w:val="17"/>
        </w:numPr>
        <w:tabs>
          <w:tab w:val="left" w:pos="709"/>
        </w:tabs>
        <w:spacing w:line="288" w:lineRule="auto"/>
        <w:ind w:left="567" w:hanging="425"/>
        <w:rPr>
          <w:rFonts w:eastAsiaTheme="minorEastAsia" w:cs="Arial"/>
        </w:rPr>
      </w:pPr>
      <w:r>
        <w:rPr>
          <w:rFonts w:eastAsiaTheme="minorEastAsia" w:cs="Arial"/>
        </w:rPr>
        <w:t xml:space="preserve">die Fördermittel nicht oder nicht mehr für </w:t>
      </w:r>
      <w:r>
        <w:rPr>
          <w:rFonts w:cs="Arial"/>
        </w:rPr>
        <w:t xml:space="preserve">das Projekt, das durch die Projektbeschreibung und den Kosten- und Finanzierungsplan (Anlage 1) beschrieben wird, </w:t>
      </w:r>
      <w:r>
        <w:rPr>
          <w:rFonts w:eastAsiaTheme="minorEastAsia" w:cs="Arial"/>
        </w:rPr>
        <w:t>oder entsprechend der Förderziele (gemäß Ziff. 3) verwendet werden.</w:t>
      </w:r>
    </w:p>
    <w:p>
      <w:pPr>
        <w:spacing w:after="0" w:line="288" w:lineRule="auto"/>
        <w:jc w:val="both"/>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t>Im Falle des Rücktritts ist der Verwendungsnachweis innerhalb eines Monats vorzulegen. Es gelten die Regelungen über den Nachweis der Verwendung gemäß Ziff. 8.</w:t>
      </w:r>
    </w:p>
    <w:p>
      <w:pPr>
        <w:pStyle w:val="Einzug2"/>
        <w:widowControl w:val="0"/>
        <w:numPr>
          <w:ilvl w:val="0"/>
          <w:numId w:val="0"/>
        </w:numPr>
        <w:spacing w:line="288" w:lineRule="auto"/>
        <w:ind w:left="425"/>
        <w:rPr>
          <w:rFonts w:cs="Arial"/>
        </w:rPr>
      </w:pPr>
    </w:p>
    <w:p>
      <w:pPr>
        <w:pStyle w:val="Listenabsatz"/>
        <w:keepLines w:val="0"/>
        <w:numPr>
          <w:ilvl w:val="0"/>
          <w:numId w:val="18"/>
        </w:numPr>
        <w:spacing w:after="0" w:line="288" w:lineRule="auto"/>
        <w:ind w:left="426" w:hanging="426"/>
        <w:contextualSpacing/>
        <w:jc w:val="both"/>
        <w:rPr>
          <w:rFonts w:ascii="Arial" w:hAnsi="Arial" w:cs="Arial"/>
          <w:b/>
          <w:bCs/>
          <w:sz w:val="22"/>
          <w:szCs w:val="22"/>
        </w:rPr>
      </w:pPr>
      <w:r>
        <w:rPr>
          <w:rFonts w:ascii="Arial" w:hAnsi="Arial" w:cs="Arial"/>
          <w:b/>
          <w:bCs/>
          <w:sz w:val="22"/>
          <w:szCs w:val="22"/>
        </w:rPr>
        <w:t>Datenschutz</w:t>
      </w:r>
    </w:p>
    <w:p>
      <w:pPr>
        <w:pStyle w:val="Einzug2"/>
        <w:widowControl w:val="0"/>
        <w:numPr>
          <w:ilvl w:val="0"/>
          <w:numId w:val="0"/>
        </w:numPr>
        <w:tabs>
          <w:tab w:val="left" w:pos="0"/>
        </w:tabs>
        <w:spacing w:line="288" w:lineRule="auto"/>
        <w:rPr>
          <w:rFonts w:cs="Arial"/>
        </w:rPr>
      </w:pPr>
      <w:r>
        <w:rPr>
          <w:rFonts w:cs="Arial"/>
        </w:rPr>
        <w:t xml:space="preserve">Der Zuwendungsempfänger des </w:t>
      </w:r>
      <w:proofErr w:type="spellStart"/>
      <w:r>
        <w:rPr>
          <w:rFonts w:cs="Arial"/>
        </w:rPr>
        <w:t>Aller.Land</w:t>
      </w:r>
      <w:proofErr w:type="spellEnd"/>
      <w:r>
        <w:rPr>
          <w:rFonts w:cs="Arial"/>
        </w:rPr>
        <w:t xml:space="preserve">-Projektes verarbeitet im Kontext des Projekts personenbezogene Daten nach Maßgabe der anwendbaren datenschutzrechtlichen Regelungen (insbesondere DSGVO und BDSG) zum Zwecke der Durchführung und Prüfung der vereinbarten Projektförderung (Erlaubnistatbestand DSGVO Art. 6 Abs. 1 </w:t>
      </w:r>
      <w:proofErr w:type="spellStart"/>
      <w:r>
        <w:rPr>
          <w:rFonts w:cs="Arial"/>
        </w:rPr>
        <w:t>lit</w:t>
      </w:r>
      <w:proofErr w:type="spellEnd"/>
      <w:r>
        <w:rPr>
          <w:rFonts w:cs="Arial"/>
        </w:rPr>
        <w:t xml:space="preserve">. b), zur Erfüllung der projektbezogenen Verpflichtungen des Zuwendungsempfängers des </w:t>
      </w:r>
      <w:proofErr w:type="spellStart"/>
      <w:r>
        <w:rPr>
          <w:rFonts w:cs="Arial"/>
        </w:rPr>
        <w:t>Aller.Land</w:t>
      </w:r>
      <w:proofErr w:type="spellEnd"/>
      <w:r>
        <w:rPr>
          <w:rFonts w:cs="Arial"/>
        </w:rPr>
        <w:t xml:space="preserve">-Projektes gegenüber seinen Zuwendungsgebern (einschließlich </w:t>
      </w:r>
      <w:proofErr w:type="spellStart"/>
      <w:r>
        <w:rPr>
          <w:rFonts w:cs="Arial"/>
        </w:rPr>
        <w:t>Aller.Land</w:t>
      </w:r>
      <w:proofErr w:type="spellEnd"/>
      <w:r>
        <w:rPr>
          <w:rFonts w:cs="Arial"/>
        </w:rPr>
        <w:t xml:space="preserve">-Programmbüro) (DSGVO Art. 6 Abs. 1 </w:t>
      </w:r>
      <w:proofErr w:type="spellStart"/>
      <w:r>
        <w:rPr>
          <w:rFonts w:cs="Arial"/>
        </w:rPr>
        <w:t>lit</w:t>
      </w:r>
      <w:proofErr w:type="spellEnd"/>
      <w:r>
        <w:rPr>
          <w:rFonts w:cs="Arial"/>
        </w:rPr>
        <w:t xml:space="preserve">. b) oder gegebenenfalls zur Geltendmachung, Ausübung oder Verteidigung eigener </w:t>
      </w:r>
      <w:r>
        <w:rPr>
          <w:rFonts w:cs="Arial"/>
        </w:rPr>
        <w:lastRenderedPageBreak/>
        <w:t xml:space="preserve">Rechte (DSGVO Art. 6 Abs. 1 </w:t>
      </w:r>
      <w:proofErr w:type="spellStart"/>
      <w:r>
        <w:rPr>
          <w:rFonts w:cs="Arial"/>
        </w:rPr>
        <w:t>lit</w:t>
      </w:r>
      <w:proofErr w:type="spellEnd"/>
      <w:r>
        <w:rPr>
          <w:rFonts w:cs="Arial"/>
        </w:rPr>
        <w:t xml:space="preserve">. f). Dies schließt auch eine etwaige Prüfung durch den zuständigen Rechnungshof oder andere Prüfstellen ein. </w:t>
      </w:r>
    </w:p>
    <w:p>
      <w:pPr>
        <w:pStyle w:val="Einzug2"/>
        <w:widowControl w:val="0"/>
        <w:numPr>
          <w:ilvl w:val="0"/>
          <w:numId w:val="0"/>
        </w:numPr>
        <w:tabs>
          <w:tab w:val="left" w:pos="0"/>
        </w:tabs>
        <w:spacing w:line="288" w:lineRule="auto"/>
        <w:rPr>
          <w:rFonts w:cs="Arial"/>
        </w:rPr>
      </w:pPr>
      <w:r>
        <w:rPr>
          <w:rFonts w:cs="Arial"/>
        </w:rPr>
        <w:t xml:space="preserve">In diesem Zusammenhang kann der Zuwendungsempfänger des </w:t>
      </w:r>
      <w:proofErr w:type="spellStart"/>
      <w:r>
        <w:rPr>
          <w:rFonts w:cs="Arial"/>
        </w:rPr>
        <w:t>Aller.Land</w:t>
      </w:r>
      <w:proofErr w:type="spellEnd"/>
      <w:r>
        <w:rPr>
          <w:rFonts w:cs="Arial"/>
        </w:rPr>
        <w:t xml:space="preserve">-Projektes personenbezogenen Daten an weitere Empfänger übermitteln, soweit dies zur Erfüllung der vertraglichen und gesetzlichen Pflichten im Zusammenhang mit dem geschlossenen Vertrag und der Förderung im Programm </w:t>
      </w:r>
      <w:proofErr w:type="spellStart"/>
      <w:r>
        <w:rPr>
          <w:rFonts w:cs="Arial"/>
        </w:rPr>
        <w:t>Aller.Land</w:t>
      </w:r>
      <w:proofErr w:type="spellEnd"/>
      <w:r>
        <w:rPr>
          <w:rFonts w:cs="Arial"/>
        </w:rPr>
        <w:t xml:space="preserve"> erforderlich ist (DSGVO Art. 6 Abs. 1 </w:t>
      </w:r>
      <w:proofErr w:type="spellStart"/>
      <w:r>
        <w:rPr>
          <w:rFonts w:cs="Arial"/>
        </w:rPr>
        <w:t>lit</w:t>
      </w:r>
      <w:proofErr w:type="spellEnd"/>
      <w:r>
        <w:rPr>
          <w:rFonts w:cs="Arial"/>
        </w:rPr>
        <w:t xml:space="preserve">. b bzw. </w:t>
      </w:r>
      <w:proofErr w:type="spellStart"/>
      <w:r>
        <w:rPr>
          <w:rFonts w:cs="Arial"/>
        </w:rPr>
        <w:t>lit</w:t>
      </w:r>
      <w:proofErr w:type="spellEnd"/>
      <w:r>
        <w:rPr>
          <w:rFonts w:cs="Arial"/>
        </w:rPr>
        <w:t xml:space="preserve">. c). Dies können beispielsweise öffentliche Stellen (Finanzbehörden, Gerichte etc.) oder auch Banken sein, das </w:t>
      </w:r>
      <w:proofErr w:type="spellStart"/>
      <w:r>
        <w:rPr>
          <w:rFonts w:cs="Arial"/>
        </w:rPr>
        <w:t>Aller.Land</w:t>
      </w:r>
      <w:proofErr w:type="spellEnd"/>
      <w:r>
        <w:rPr>
          <w:rFonts w:cs="Arial"/>
        </w:rPr>
        <w:t>-Programmbüro, dessen Zuwendungsgeber, mit der Evaluation der Projekte Beauftragte sowie etwaige Prüfstellen.</w:t>
      </w:r>
    </w:p>
    <w:p>
      <w:pPr>
        <w:pStyle w:val="Einzug2"/>
        <w:widowControl w:val="0"/>
        <w:numPr>
          <w:ilvl w:val="0"/>
          <w:numId w:val="0"/>
        </w:numPr>
        <w:tabs>
          <w:tab w:val="left" w:pos="0"/>
        </w:tabs>
        <w:spacing w:line="288" w:lineRule="auto"/>
        <w:rPr>
          <w:rFonts w:cs="Arial"/>
        </w:rPr>
      </w:pPr>
      <w:r>
        <w:rPr>
          <w:rFonts w:cs="Arial"/>
        </w:rPr>
        <w:t>Der Zuwendungsempfänger verpflichtet sich, bei Verarbeitung der personenbezogenen Informationen die gesetzlichen und vertraglichen Vorschriften zum Datenschutz einzuhalten. Dies beinhaltet auch die Umsetzung der Betroffenenrechte (</w:t>
      </w:r>
      <w:proofErr w:type="spellStart"/>
      <w:r>
        <w:rPr>
          <w:rFonts w:cs="Arial"/>
        </w:rPr>
        <w:t>Artt</w:t>
      </w:r>
      <w:proofErr w:type="spellEnd"/>
      <w:r>
        <w:rPr>
          <w:rFonts w:cs="Arial"/>
        </w:rPr>
        <w:t xml:space="preserve">. 12 ff. DSGVO) und dem aktuellen Stand der Technik angepasste technische Sicherheitsmaßnahmen (Art. 32 DSGVO) sowie die Verpflichtung seiner Beschäftigten und Kooperationspartner auf das Datengeheimnis (Art. 28 Abs. 3 </w:t>
      </w:r>
      <w:proofErr w:type="spellStart"/>
      <w:r>
        <w:rPr>
          <w:rFonts w:cs="Arial"/>
        </w:rPr>
        <w:t>UAbs</w:t>
      </w:r>
      <w:proofErr w:type="spellEnd"/>
      <w:r>
        <w:rPr>
          <w:rFonts w:cs="Arial"/>
        </w:rPr>
        <w:t xml:space="preserve">. 1 S. 2 </w:t>
      </w:r>
      <w:proofErr w:type="spellStart"/>
      <w:r>
        <w:rPr>
          <w:rFonts w:cs="Arial"/>
        </w:rPr>
        <w:t>lit</w:t>
      </w:r>
      <w:proofErr w:type="spellEnd"/>
      <w:r>
        <w:rPr>
          <w:rFonts w:cs="Arial"/>
        </w:rPr>
        <w:t>. b DSGVO).</w:t>
      </w:r>
    </w:p>
    <w:p>
      <w:pPr>
        <w:spacing w:after="0" w:line="288" w:lineRule="auto"/>
        <w:jc w:val="both"/>
        <w:rPr>
          <w:rFonts w:ascii="Arial" w:hAnsi="Arial" w:cs="Arial"/>
          <w:sz w:val="22"/>
          <w:szCs w:val="22"/>
        </w:rPr>
      </w:pPr>
    </w:p>
    <w:p>
      <w:pPr>
        <w:spacing w:after="0" w:line="288" w:lineRule="auto"/>
        <w:rPr>
          <w:rFonts w:ascii="Arial" w:hAnsi="Arial" w:cs="Arial"/>
          <w:sz w:val="22"/>
          <w:szCs w:val="22"/>
        </w:rPr>
      </w:pPr>
      <w:r>
        <w:rPr>
          <w:rFonts w:ascii="Arial" w:hAnsi="Arial" w:cs="Arial"/>
          <w:sz w:val="22"/>
          <w:szCs w:val="22"/>
        </w:rPr>
        <w:t>Stand: 15.07.2025</w:t>
      </w:r>
    </w:p>
    <w:p>
      <w:pPr>
        <w:spacing w:after="0" w:line="288" w:lineRule="auto"/>
        <w:jc w:val="both"/>
        <w:rPr>
          <w:rFonts w:ascii="Arial" w:hAnsi="Arial" w:cs="Arial"/>
          <w:sz w:val="22"/>
          <w:szCs w:val="22"/>
        </w:rPr>
      </w:pPr>
    </w:p>
    <w:p/>
    <w:sectPr>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pStyle w:val="zzEndnoteSeparator"/>
      </w:pPr>
      <w:r>
        <w:separator/>
      </w:r>
    </w:p>
  </w:endnote>
  <w:endnote w:type="continuationSeparator" w:id="0">
    <w:p>
      <w:pPr>
        <w:pStyle w:val="zzEndnoteContinuationSeparator"/>
      </w:pPr>
      <w:r>
        <w:continuationSeparator/>
      </w:r>
    </w:p>
  </w:endnote>
  <w:endnote w:type="continuationNotice" w:id="1">
    <w:p>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98560503"/>
      <w:docPartObj>
        <w:docPartGallery w:val="Page Numbers (Bottom of Page)"/>
        <w:docPartUnique/>
      </w:docPartObj>
    </w:sdtPr>
    <w:sdtContent>
      <w:p>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zzFootnoteSeparator"/>
      </w:pPr>
      <w:r>
        <w:separator/>
      </w:r>
    </w:p>
  </w:footnote>
  <w:footnote w:type="continuationSeparator" w:id="0">
    <w:p>
      <w:pPr>
        <w:pStyle w:val="zzFootnoteContinuationSeparator"/>
      </w:pPr>
      <w:r>
        <w:continuationSeparator/>
      </w:r>
    </w:p>
  </w:footnote>
  <w:footnote w:type="continuationNotice" w:id="1">
    <w:p>
      <w:pPr>
        <w:pStyle w:val="zzFootnoteContinuation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72281"/>
      <w:docPartObj>
        <w:docPartGallery w:val="Page Numbers (Top of Page)"/>
        <w:docPartUnique/>
      </w:docPartObj>
    </w:sdtPr>
    <w:sdtEndPr>
      <w:rPr>
        <w:sz w:val="24"/>
      </w:rPr>
    </w:sdtEndPr>
    <w:sdtContent>
      <w:p>
        <w:pPr>
          <w:pStyle w:val="Kopfzeile"/>
          <w:jc w:val="center"/>
          <w:rPr>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pPr>
      <w:pStyle w:val="zzPreprin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p>
    <w:pPr>
      <w:pStyle w:val="zzPreprin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41D"/>
    <w:multiLevelType w:val="multilevel"/>
    <w:tmpl w:val="DC02BCF4"/>
    <w:numStyleLink w:val="BulletListSettings"/>
  </w:abstractNum>
  <w:abstractNum w:abstractNumId="1" w15:restartNumberingAfterBreak="0">
    <w:nsid w:val="08002447"/>
    <w:multiLevelType w:val="hybridMultilevel"/>
    <w:tmpl w:val="D51C27A0"/>
    <w:lvl w:ilvl="0" w:tplc="6FD25824">
      <w:start w:val="1"/>
      <w:numFmt w:val="bullet"/>
      <w:pStyle w:val="zzFootnoteContinuationNo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036DA3"/>
    <w:multiLevelType w:val="hybridMultilevel"/>
    <w:tmpl w:val="171C0CCC"/>
    <w:lvl w:ilvl="0" w:tplc="83C83474">
      <w:start w:val="1"/>
      <w:numFmt w:val="decimal"/>
      <w:lvlText w:val="§ %1"/>
      <w:lvlJc w:val="left"/>
      <w:pPr>
        <w:tabs>
          <w:tab w:val="num" w:pos="720"/>
        </w:tabs>
        <w:ind w:left="0" w:firstLine="0"/>
      </w:pPr>
      <w:rPr>
        <w:b/>
        <w:i w:val="0"/>
      </w:rPr>
    </w:lvl>
    <w:lvl w:ilvl="1" w:tplc="B4222D6A">
      <w:start w:val="1"/>
      <w:numFmt w:val="decimal"/>
      <w:pStyle w:val="Einzug2"/>
      <w:lvlText w:val="%2."/>
      <w:lvlJc w:val="left"/>
      <w:pPr>
        <w:tabs>
          <w:tab w:val="num" w:pos="1440"/>
        </w:tabs>
        <w:ind w:left="1440" w:hanging="731"/>
      </w:pPr>
      <w:rPr>
        <w:b w:val="0"/>
        <w:i w:val="0"/>
      </w:rPr>
    </w:lvl>
    <w:lvl w:ilvl="2" w:tplc="C42C4A38">
      <w:start w:val="1"/>
      <w:numFmt w:val="lowerLetter"/>
      <w:pStyle w:val="Einzug3"/>
      <w:lvlText w:val="%3)"/>
      <w:lvlJc w:val="left"/>
      <w:pPr>
        <w:tabs>
          <w:tab w:val="num" w:pos="2340"/>
        </w:tabs>
        <w:ind w:left="2340" w:hanging="922"/>
      </w:pPr>
      <w:rPr>
        <w:b w:val="0"/>
        <w:i w:val="0"/>
      </w:rPr>
    </w:lvl>
    <w:lvl w:ilvl="3" w:tplc="9CCA7F5C">
      <w:start w:val="1"/>
      <w:numFmt w:val="decimal"/>
      <w:lvlText w:val="%4."/>
      <w:lvlJc w:val="left"/>
      <w:pPr>
        <w:tabs>
          <w:tab w:val="num" w:pos="2880"/>
        </w:tabs>
        <w:ind w:left="2880" w:hanging="360"/>
      </w:pPr>
      <w:rPr>
        <w:b/>
        <w:i w:val="0"/>
      </w:rPr>
    </w:lvl>
    <w:lvl w:ilvl="4" w:tplc="4A10BF5A">
      <w:start w:val="1"/>
      <w:numFmt w:val="decimal"/>
      <w:lvlText w:val="%5."/>
      <w:lvlJc w:val="left"/>
      <w:pPr>
        <w:tabs>
          <w:tab w:val="num" w:pos="3600"/>
        </w:tabs>
        <w:ind w:left="3600" w:hanging="360"/>
      </w:pPr>
    </w:lvl>
    <w:lvl w:ilvl="5" w:tplc="6C5EB68E">
      <w:start w:val="1"/>
      <w:numFmt w:val="decimal"/>
      <w:lvlText w:val="%6."/>
      <w:lvlJc w:val="left"/>
      <w:pPr>
        <w:tabs>
          <w:tab w:val="num" w:pos="4320"/>
        </w:tabs>
        <w:ind w:left="4320" w:hanging="360"/>
      </w:pPr>
    </w:lvl>
    <w:lvl w:ilvl="6" w:tplc="DA5EBFBA">
      <w:start w:val="1"/>
      <w:numFmt w:val="decimal"/>
      <w:lvlText w:val="%7."/>
      <w:lvlJc w:val="left"/>
      <w:pPr>
        <w:tabs>
          <w:tab w:val="num" w:pos="5040"/>
        </w:tabs>
        <w:ind w:left="5040" w:hanging="360"/>
      </w:pPr>
    </w:lvl>
    <w:lvl w:ilvl="7" w:tplc="D6FC1B56">
      <w:start w:val="1"/>
      <w:numFmt w:val="decimal"/>
      <w:lvlText w:val="%8."/>
      <w:lvlJc w:val="left"/>
      <w:pPr>
        <w:tabs>
          <w:tab w:val="num" w:pos="5760"/>
        </w:tabs>
        <w:ind w:left="5760" w:hanging="360"/>
      </w:pPr>
    </w:lvl>
    <w:lvl w:ilvl="8" w:tplc="1A941B88">
      <w:start w:val="1"/>
      <w:numFmt w:val="decimal"/>
      <w:lvlText w:val="%9."/>
      <w:lvlJc w:val="left"/>
      <w:pPr>
        <w:tabs>
          <w:tab w:val="num" w:pos="6480"/>
        </w:tabs>
        <w:ind w:left="6480" w:hanging="360"/>
      </w:pPr>
    </w:lvl>
  </w:abstractNum>
  <w:abstractNum w:abstractNumId="3" w15:restartNumberingAfterBreak="0">
    <w:nsid w:val="466C5929"/>
    <w:multiLevelType w:val="multilevel"/>
    <w:tmpl w:val="14EE31FC"/>
    <w:numStyleLink w:val="NumberedListSettings"/>
  </w:abstractNum>
  <w:abstractNum w:abstractNumId="4" w15:restartNumberingAfterBreak="0">
    <w:nsid w:val="475F3F0B"/>
    <w:multiLevelType w:val="multilevel"/>
    <w:tmpl w:val="14EE31FC"/>
    <w:styleLink w:val="NumberedListSettings"/>
    <w:lvl w:ilvl="0">
      <w:start w:val="1"/>
      <w:numFmt w:val="decimal"/>
      <w:pStyle w:val="Listen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5" w15:restartNumberingAfterBreak="0">
    <w:nsid w:val="4A44577A"/>
    <w:multiLevelType w:val="multilevel"/>
    <w:tmpl w:val="DC02BCF4"/>
    <w:styleLink w:val="BulletListSettings"/>
    <w:lvl w:ilvl="0">
      <w:start w:val="1"/>
      <w:numFmt w:val="bullet"/>
      <w:pStyle w:val="Aufzhlungszeichen"/>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none"/>
      <w:lvlText w:val=""/>
      <w:lvlJc w:val="left"/>
      <w:pPr>
        <w:tabs>
          <w:tab w:val="num" w:pos="1212"/>
        </w:tabs>
        <w:ind w:left="1136" w:hanging="284"/>
      </w:pPr>
      <w:rPr>
        <w:rFonts w:hint="default"/>
      </w:rPr>
    </w:lvl>
    <w:lvl w:ilvl="4">
      <w:start w:val="1"/>
      <w:numFmt w:val="none"/>
      <w:lvlText w:val=""/>
      <w:lvlJc w:val="left"/>
      <w:pPr>
        <w:tabs>
          <w:tab w:val="num" w:pos="1496"/>
        </w:tabs>
        <w:ind w:left="1420" w:hanging="284"/>
      </w:pPr>
      <w:rPr>
        <w:rFonts w:hint="default"/>
      </w:rPr>
    </w:lvl>
    <w:lvl w:ilvl="5">
      <w:start w:val="1"/>
      <w:numFmt w:val="none"/>
      <w:lvlText w:val=""/>
      <w:lvlJc w:val="left"/>
      <w:pPr>
        <w:tabs>
          <w:tab w:val="num" w:pos="1780"/>
        </w:tabs>
        <w:ind w:left="1704" w:hanging="284"/>
      </w:pPr>
      <w:rPr>
        <w:rFonts w:hint="default"/>
      </w:rPr>
    </w:lvl>
    <w:lvl w:ilvl="6">
      <w:start w:val="1"/>
      <w:numFmt w:val="none"/>
      <w:lvlText w:val=""/>
      <w:lvlJc w:val="left"/>
      <w:pPr>
        <w:tabs>
          <w:tab w:val="num" w:pos="2064"/>
        </w:tabs>
        <w:ind w:left="1988" w:hanging="284"/>
      </w:pPr>
      <w:rPr>
        <w:rFonts w:hint="default"/>
      </w:rPr>
    </w:lvl>
    <w:lvl w:ilvl="7">
      <w:start w:val="1"/>
      <w:numFmt w:val="none"/>
      <w:lvlText w:val=""/>
      <w:lvlJc w:val="left"/>
      <w:pPr>
        <w:tabs>
          <w:tab w:val="num" w:pos="2348"/>
        </w:tabs>
        <w:ind w:left="2272" w:hanging="284"/>
      </w:pPr>
      <w:rPr>
        <w:rFonts w:hint="default"/>
      </w:rPr>
    </w:lvl>
    <w:lvl w:ilvl="8">
      <w:start w:val="1"/>
      <w:numFmt w:val="none"/>
      <w:lvlText w:val=""/>
      <w:lvlJc w:val="left"/>
      <w:pPr>
        <w:tabs>
          <w:tab w:val="num" w:pos="2632"/>
        </w:tabs>
        <w:ind w:left="2556" w:hanging="284"/>
      </w:pPr>
      <w:rPr>
        <w:rFonts w:hint="default"/>
      </w:rPr>
    </w:lvl>
  </w:abstractNum>
  <w:abstractNum w:abstractNumId="6" w15:restartNumberingAfterBreak="0">
    <w:nsid w:val="532915DE"/>
    <w:multiLevelType w:val="hybridMultilevel"/>
    <w:tmpl w:val="ABB846E0"/>
    <w:lvl w:ilvl="0" w:tplc="BE4E3A9A">
      <w:start w:val="1"/>
      <w:numFmt w:val="bullet"/>
      <w:lvlText w:val="-"/>
      <w:lvlJc w:val="left"/>
      <w:pPr>
        <w:ind w:left="1069" w:hanging="360"/>
      </w:pPr>
      <w:rPr>
        <w:rFonts w:ascii="Arial" w:eastAsiaTheme="minorHAns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590B4536"/>
    <w:multiLevelType w:val="multilevel"/>
    <w:tmpl w:val="14EE31FC"/>
    <w:numStyleLink w:val="NumberedListSettings"/>
  </w:abstractNum>
  <w:abstractNum w:abstractNumId="8" w15:restartNumberingAfterBreak="0">
    <w:nsid w:val="62634A04"/>
    <w:multiLevelType w:val="multilevel"/>
    <w:tmpl w:val="F300E25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8E72386"/>
    <w:multiLevelType w:val="multilevel"/>
    <w:tmpl w:val="DC02BCF4"/>
    <w:numStyleLink w:val="BulletListSettings"/>
  </w:abstractNum>
  <w:abstractNum w:abstractNumId="10" w15:restartNumberingAfterBreak="0">
    <w:nsid w:val="722534B9"/>
    <w:multiLevelType w:val="multilevel"/>
    <w:tmpl w:val="F50EA56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C84C74"/>
    <w:multiLevelType w:val="multilevel"/>
    <w:tmpl w:val="14EE31FC"/>
    <w:numStyleLink w:val="NumberedListSettings"/>
  </w:abstractNum>
  <w:num w:numId="1">
    <w:abstractNumId w:val="4"/>
  </w:num>
  <w:num w:numId="2">
    <w:abstractNumId w:val="3"/>
  </w:num>
  <w:num w:numId="3">
    <w:abstractNumId w:val="5"/>
  </w:num>
  <w:num w:numId="4">
    <w:abstractNumId w:val="1"/>
  </w:num>
  <w:num w:numId="5">
    <w:abstractNumId w:val="9"/>
  </w:num>
  <w:num w:numId="6">
    <w:abstractNumId w:val="11"/>
  </w:num>
  <w:num w:numId="7">
    <w:abstractNumId w:val="0"/>
  </w:num>
  <w:num w:numId="8">
    <w:abstractNumId w:val="7"/>
  </w:num>
  <w:num w:numId="9">
    <w:abstractNumId w:val="0"/>
  </w:num>
  <w:num w:numId="10">
    <w:abstractNumId w:val="5"/>
  </w:num>
  <w:num w:numId="11">
    <w:abstractNumId w:val="7"/>
  </w:num>
  <w:num w:numId="12">
    <w:abstractNumId w:val="4"/>
  </w:num>
  <w:num w:numId="13">
    <w:abstractNumId w:val="1"/>
  </w:num>
  <w:num w:numId="14">
    <w:abstractNumId w:val="1"/>
  </w:num>
  <w:num w:numId="15">
    <w:abstractNumId w:val="2"/>
  </w:num>
  <w:num w:numId="16">
    <w:abstractNumId w:val="10"/>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ADF15A-3FC2-294E-B991-A19AA610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zh-CN" w:bidi="ar-SA"/>
      </w:rPr>
    </w:rPrDefault>
    <w:pPrDefault>
      <w:pPr>
        <w:spacing w:before="170" w:after="17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3"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0" w:after="160" w:line="278" w:lineRule="auto"/>
    </w:pPr>
    <w:rPr>
      <w:rFonts w:eastAsiaTheme="minorHAnsi"/>
      <w:kern w:val="2"/>
      <w:sz w:val="24"/>
      <w:szCs w:val="24"/>
      <w:lang w:eastAsia="en-US"/>
      <w14:ligatures w14:val="standardContextual"/>
    </w:rPr>
  </w:style>
  <w:style w:type="paragraph" w:styleId="berschrift1">
    <w:name w:val="heading 1"/>
    <w:aliases w:val="Hauptüberschrift"/>
    <w:basedOn w:val="zzHeadings"/>
    <w:next w:val="Standard"/>
    <w:link w:val="berschrift1Zchn"/>
    <w:qFormat/>
    <w:pPr>
      <w:spacing w:before="567" w:line="240" w:lineRule="auto"/>
      <w:contextualSpacing/>
      <w:outlineLvl w:val="0"/>
    </w:pPr>
    <w:rPr>
      <w:rFonts w:eastAsiaTheme="majorEastAsia" w:cstheme="majorBidi"/>
      <w:sz w:val="28"/>
      <w:szCs w:val="32"/>
    </w:rPr>
  </w:style>
  <w:style w:type="paragraph" w:styleId="berschrift2">
    <w:name w:val="heading 2"/>
    <w:aliases w:val="Zwischenüberschrift"/>
    <w:basedOn w:val="zzHeadings"/>
    <w:next w:val="Standard"/>
    <w:link w:val="berschrift2Zchn"/>
    <w:qFormat/>
    <w:pPr>
      <w:spacing w:before="397"/>
      <w:outlineLvl w:val="1"/>
    </w:pPr>
    <w:rPr>
      <w:rFonts w:eastAsiaTheme="majorEastAsia" w:cstheme="majorBidi"/>
      <w:szCs w:val="26"/>
    </w:rPr>
  </w:style>
  <w:style w:type="paragraph" w:styleId="berschrift3">
    <w:name w:val="heading 3"/>
    <w:basedOn w:val="zzHeadings"/>
    <w:next w:val="Standard"/>
    <w:link w:val="berschrift3Zchn"/>
    <w:uiPriority w:val="24"/>
    <w:semiHidden/>
    <w:pPr>
      <w:outlineLvl w:val="2"/>
    </w:pPr>
    <w:rPr>
      <w:rFonts w:eastAsiaTheme="majorEastAsia" w:cstheme="majorBidi"/>
    </w:rPr>
  </w:style>
  <w:style w:type="paragraph" w:styleId="berschrift4">
    <w:name w:val="heading 4"/>
    <w:basedOn w:val="zzHeadings"/>
    <w:next w:val="Standard"/>
    <w:link w:val="berschrift4Zchn"/>
    <w:uiPriority w:val="24"/>
    <w:semiHidden/>
    <w:pPr>
      <w:outlineLvl w:val="3"/>
    </w:pPr>
    <w:rPr>
      <w:rFonts w:eastAsiaTheme="majorEastAsia" w:cstheme="majorBidi"/>
      <w:iCs/>
    </w:rPr>
  </w:style>
  <w:style w:type="paragraph" w:styleId="berschrift5">
    <w:name w:val="heading 5"/>
    <w:basedOn w:val="zzHeadings"/>
    <w:next w:val="Standard"/>
    <w:link w:val="berschrift5Zchn"/>
    <w:uiPriority w:val="24"/>
    <w:semiHidden/>
    <w:pPr>
      <w:outlineLvl w:val="4"/>
    </w:pPr>
    <w:rPr>
      <w:rFonts w:eastAsiaTheme="majorEastAsia" w:cstheme="majorBidi"/>
    </w:rPr>
  </w:style>
  <w:style w:type="paragraph" w:styleId="berschrift6">
    <w:name w:val="heading 6"/>
    <w:basedOn w:val="zzHeadings"/>
    <w:next w:val="Standard"/>
    <w:link w:val="berschrift6Zchn"/>
    <w:uiPriority w:val="24"/>
    <w:semiHidden/>
    <w:pPr>
      <w:outlineLvl w:val="5"/>
    </w:pPr>
    <w:rPr>
      <w:rFonts w:eastAsiaTheme="majorEastAsia" w:cstheme="majorBidi"/>
    </w:rPr>
  </w:style>
  <w:style w:type="paragraph" w:styleId="berschrift7">
    <w:name w:val="heading 7"/>
    <w:basedOn w:val="zzHeadings"/>
    <w:next w:val="Standard"/>
    <w:link w:val="berschrift7Zchn"/>
    <w:uiPriority w:val="24"/>
    <w:semiHidden/>
    <w:pPr>
      <w:outlineLvl w:val="6"/>
    </w:pPr>
    <w:rPr>
      <w:rFonts w:eastAsiaTheme="majorEastAsia" w:cstheme="majorBidi"/>
      <w:iCs/>
    </w:rPr>
  </w:style>
  <w:style w:type="paragraph" w:styleId="berschrift8">
    <w:name w:val="heading 8"/>
    <w:basedOn w:val="zzHeadings"/>
    <w:next w:val="Standard"/>
    <w:link w:val="berschrift8Zchn"/>
    <w:uiPriority w:val="24"/>
    <w:semiHidden/>
    <w:pPr>
      <w:outlineLvl w:val="7"/>
    </w:pPr>
    <w:rPr>
      <w:rFonts w:eastAsiaTheme="majorEastAsia" w:cstheme="majorBidi"/>
      <w:szCs w:val="21"/>
    </w:rPr>
  </w:style>
  <w:style w:type="paragraph" w:styleId="berschrift9">
    <w:name w:val="heading 9"/>
    <w:basedOn w:val="zzHeadings"/>
    <w:next w:val="Standard"/>
    <w:link w:val="berschrift9Zchn"/>
    <w:uiPriority w:val="24"/>
    <w:semiHidden/>
    <w:pPr>
      <w:outlineLvl w:val="8"/>
    </w:pPr>
    <w:rPr>
      <w:rFonts w:eastAsiaTheme="majorEastAsia"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2"/>
    <w:qFormat/>
    <w:pPr>
      <w:spacing w:after="0"/>
    </w:pPr>
  </w:style>
  <w:style w:type="paragraph" w:customStyle="1" w:styleId="zzHeaderFooter">
    <w:name w:val="zz_HeaderFooter"/>
    <w:basedOn w:val="Standard"/>
    <w:uiPriority w:val="99"/>
    <w:pPr>
      <w:spacing w:after="0" w:line="240" w:lineRule="auto"/>
    </w:pPr>
    <w:rPr>
      <w:sz w:val="14"/>
    </w:rPr>
  </w:style>
  <w:style w:type="paragraph" w:customStyle="1" w:styleId="zzHeadings">
    <w:name w:val="zz_Headings"/>
    <w:basedOn w:val="Standard"/>
    <w:uiPriority w:val="99"/>
    <w:pPr>
      <w:keepNext/>
      <w:keepLines/>
      <w:suppressAutoHyphens/>
    </w:pPr>
    <w:rPr>
      <w:rFonts w:asciiTheme="majorHAnsi" w:hAnsiTheme="majorHAnsi"/>
    </w:rPr>
  </w:style>
  <w:style w:type="paragraph" w:customStyle="1" w:styleId="zzPreprint">
    <w:name w:val="zz_Preprint"/>
    <w:basedOn w:val="zzHeaderFooter"/>
    <w:uiPriority w:val="99"/>
    <w:rPr>
      <w:color w:val="BFBFBF"/>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zzHeaderFooter"/>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14"/>
    </w:rPr>
  </w:style>
  <w:style w:type="paragraph" w:styleId="Fuzeile">
    <w:name w:val="footer"/>
    <w:basedOn w:val="zzHeaderFooter"/>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14"/>
    </w:rPr>
  </w:style>
  <w:style w:type="table" w:customStyle="1" w:styleId="LayoutTable">
    <w:name w:val="Layout Table"/>
    <w:basedOn w:val="NormaleTabelle"/>
    <w:uiPriority w:val="99"/>
    <w:rPr>
      <w:kern w:val="12"/>
    </w:rPr>
    <w:tblPr>
      <w:tblCellMar>
        <w:left w:w="0" w:type="dxa"/>
        <w:right w:w="0" w:type="dxa"/>
      </w:tblCellMar>
    </w:tblPr>
  </w:style>
  <w:style w:type="table" w:customStyle="1" w:styleId="AddressTable">
    <w:name w:val="Address Table"/>
    <w:basedOn w:val="NormaleTabelle"/>
    <w:uiPriority w:val="99"/>
    <w:pPr>
      <w:contextualSpacing/>
    </w:pPr>
    <w:rPr>
      <w:kern w:val="12"/>
    </w:rPr>
    <w:tblPr>
      <w:tblCellMar>
        <w:left w:w="0" w:type="dxa"/>
        <w:right w:w="0" w:type="dxa"/>
      </w:tblCellMar>
    </w:tblPr>
  </w:style>
  <w:style w:type="character" w:styleId="Platzhaltertext">
    <w:name w:val="Placeholder Text"/>
    <w:basedOn w:val="Absatz-Standardschriftart"/>
    <w:uiPriority w:val="99"/>
    <w:rPr>
      <w:color w:val="808080"/>
    </w:rPr>
  </w:style>
  <w:style w:type="paragraph" w:styleId="Aufzhlungszeichen">
    <w:name w:val="List Bullet"/>
    <w:basedOn w:val="Listenabsatz"/>
    <w:uiPriority w:val="4"/>
    <w:qFormat/>
    <w:pPr>
      <w:numPr>
        <w:numId w:val="10"/>
      </w:numPr>
      <w:contextualSpacing/>
    </w:pPr>
  </w:style>
  <w:style w:type="paragraph" w:styleId="Listennummer">
    <w:name w:val="List Number"/>
    <w:basedOn w:val="Listenabsatz"/>
    <w:uiPriority w:val="5"/>
    <w:qFormat/>
    <w:pPr>
      <w:numPr>
        <w:numId w:val="12"/>
      </w:numPr>
    </w:pPr>
  </w:style>
  <w:style w:type="numbering" w:customStyle="1" w:styleId="NumberedListSettings">
    <w:name w:val="Numbered List Settings"/>
    <w:uiPriority w:val="99"/>
    <w:pPr>
      <w:numPr>
        <w:numId w:val="1"/>
      </w:numPr>
    </w:pPr>
  </w:style>
  <w:style w:type="numbering" w:customStyle="1" w:styleId="BulletListSettings">
    <w:name w:val="Bullet List Settings"/>
    <w:uiPriority w:val="99"/>
    <w:pPr>
      <w:numPr>
        <w:numId w:val="3"/>
      </w:numPr>
    </w:pPr>
  </w:style>
  <w:style w:type="paragraph" w:customStyle="1" w:styleId="Infotext">
    <w:name w:val="Infotext"/>
    <w:basedOn w:val="zzHeaderFooter"/>
    <w:uiPriority w:val="9"/>
  </w:style>
  <w:style w:type="paragraph" w:styleId="Datum">
    <w:name w:val="Date"/>
    <w:basedOn w:val="Standard"/>
    <w:next w:val="Standard"/>
    <w:link w:val="DatumZchn"/>
    <w:uiPriority w:val="9"/>
  </w:style>
  <w:style w:type="character" w:customStyle="1" w:styleId="DatumZchn">
    <w:name w:val="Datum Zchn"/>
    <w:basedOn w:val="Absatz-Standardschriftart"/>
    <w:link w:val="Datum"/>
    <w:uiPriority w:val="9"/>
    <w:rPr>
      <w:kern w:val="12"/>
    </w:rPr>
  </w:style>
  <w:style w:type="paragraph" w:styleId="Umschlagabsenderadresse">
    <w:name w:val="envelope return"/>
    <w:basedOn w:val="zzHeaderFooter"/>
    <w:next w:val="Kopfzeile"/>
    <w:uiPriority w:val="99"/>
    <w:pPr>
      <w:framePr w:w="4536" w:wrap="notBeside" w:hAnchor="margin" w:y="-396" w:anchorLock="1"/>
      <w:tabs>
        <w:tab w:val="left" w:pos="284"/>
        <w:tab w:val="left" w:pos="567"/>
      </w:tabs>
      <w:suppressAutoHyphens/>
      <w:spacing w:before="60"/>
    </w:pPr>
    <w:rPr>
      <w:rFonts w:asciiTheme="majorHAnsi" w:eastAsiaTheme="majorEastAsia" w:hAnsiTheme="majorHAnsi" w:cstheme="majorBidi"/>
    </w:rPr>
  </w:style>
  <w:style w:type="paragraph" w:styleId="Umschlagadresse">
    <w:name w:val="envelope address"/>
    <w:basedOn w:val="Standard"/>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Titel">
    <w:name w:val="Title"/>
    <w:basedOn w:val="zzHeadings"/>
    <w:next w:val="Standard"/>
    <w:link w:val="TitelZchn"/>
    <w:uiPriority w:val="19"/>
    <w:qFormat/>
    <w:pPr>
      <w:spacing w:after="440" w:line="216" w:lineRule="auto"/>
      <w:contextualSpacing/>
    </w:pPr>
    <w:rPr>
      <w:rFonts w:eastAsiaTheme="majorEastAsia" w:cstheme="majorBidi"/>
      <w:sz w:val="50"/>
      <w:szCs w:val="56"/>
    </w:rPr>
  </w:style>
  <w:style w:type="character" w:customStyle="1" w:styleId="TitelZchn">
    <w:name w:val="Titel Zchn"/>
    <w:basedOn w:val="Absatz-Standardschriftart"/>
    <w:link w:val="Titel"/>
    <w:uiPriority w:val="19"/>
    <w:rPr>
      <w:rFonts w:asciiTheme="majorHAnsi" w:eastAsiaTheme="majorEastAsia" w:hAnsiTheme="majorHAnsi" w:cstheme="majorBidi"/>
      <w:kern w:val="12"/>
      <w:sz w:val="50"/>
      <w:szCs w:val="56"/>
    </w:rPr>
  </w:style>
  <w:style w:type="paragraph" w:styleId="Untertitel">
    <w:name w:val="Subtitle"/>
    <w:basedOn w:val="zzHeadings"/>
    <w:next w:val="Standard"/>
    <w:link w:val="UntertitelZchn"/>
    <w:uiPriority w:val="19"/>
    <w:pPr>
      <w:numPr>
        <w:ilvl w:val="1"/>
      </w:numPr>
    </w:pPr>
  </w:style>
  <w:style w:type="character" w:customStyle="1" w:styleId="UntertitelZchn">
    <w:name w:val="Untertitel Zchn"/>
    <w:basedOn w:val="Absatz-Standardschriftart"/>
    <w:link w:val="Untertitel"/>
    <w:uiPriority w:val="19"/>
    <w:rPr>
      <w:rFonts w:asciiTheme="majorHAnsi" w:hAnsiTheme="majorHAnsi"/>
    </w:rPr>
  </w:style>
  <w:style w:type="paragraph" w:styleId="Zitat">
    <w:name w:val="Quote"/>
    <w:basedOn w:val="Standard"/>
    <w:next w:val="Standard"/>
    <w:link w:val="ZitatZchn"/>
    <w:uiPriority w:val="9"/>
    <w:qFormat/>
    <w:rPr>
      <w:i/>
      <w:iCs/>
    </w:rPr>
  </w:style>
  <w:style w:type="character" w:customStyle="1" w:styleId="ZitatZchn">
    <w:name w:val="Zitat Zchn"/>
    <w:basedOn w:val="Absatz-Standardschriftart"/>
    <w:link w:val="Zitat"/>
    <w:uiPriority w:val="9"/>
    <w:rPr>
      <w:i/>
      <w:iCs/>
    </w:rPr>
  </w:style>
  <w:style w:type="paragraph" w:styleId="Listenabsatz">
    <w:name w:val="List Paragraph"/>
    <w:basedOn w:val="Standard"/>
    <w:uiPriority w:val="34"/>
    <w:qFormat/>
    <w:pPr>
      <w:keepLines/>
      <w:ind w:left="284"/>
    </w:pPr>
  </w:style>
  <w:style w:type="paragraph" w:styleId="Beschriftung">
    <w:name w:val="caption"/>
    <w:basedOn w:val="Standard"/>
    <w:next w:val="Standard"/>
    <w:uiPriority w:val="9"/>
    <w:qFormat/>
    <w:pPr>
      <w:keepLines/>
    </w:pPr>
    <w:rPr>
      <w:i/>
      <w:iCs/>
      <w:szCs w:val="18"/>
    </w:rPr>
  </w:style>
  <w:style w:type="character" w:customStyle="1" w:styleId="berschrift1Zchn">
    <w:name w:val="Überschrift 1 Zchn"/>
    <w:aliases w:val="Hauptüberschrift Zchn"/>
    <w:basedOn w:val="Absatz-Standardschriftart"/>
    <w:link w:val="berschrift1"/>
    <w:rPr>
      <w:rFonts w:asciiTheme="majorHAnsi" w:eastAsiaTheme="majorEastAsia" w:hAnsiTheme="majorHAnsi" w:cstheme="majorBidi"/>
      <w:kern w:val="12"/>
      <w:sz w:val="28"/>
      <w:szCs w:val="32"/>
    </w:rPr>
  </w:style>
  <w:style w:type="paragraph" w:styleId="Inhaltsverzeichnisberschrift">
    <w:name w:val="TOC Heading"/>
    <w:basedOn w:val="berschrift1"/>
    <w:next w:val="Standard"/>
    <w:uiPriority w:val="39"/>
    <w:unhideWhenUsed/>
    <w:pPr>
      <w:outlineLvl w:val="9"/>
    </w:pPr>
  </w:style>
  <w:style w:type="paragraph" w:styleId="Verzeichnis1">
    <w:name w:val="toc 1"/>
    <w:basedOn w:val="Standard"/>
    <w:next w:val="Standard"/>
    <w:uiPriority w:val="39"/>
    <w:unhideWhenUsed/>
  </w:style>
  <w:style w:type="paragraph" w:styleId="Verzeichnis2">
    <w:name w:val="toc 2"/>
    <w:basedOn w:val="Verzeichnis1"/>
    <w:next w:val="Standard"/>
    <w:uiPriority w:val="39"/>
    <w:unhideWhenUsed/>
    <w:pPr>
      <w:ind w:left="221"/>
    </w:pPr>
  </w:style>
  <w:style w:type="paragraph" w:styleId="Verzeichnis3">
    <w:name w:val="toc 3"/>
    <w:basedOn w:val="Verzeichnis2"/>
    <w:next w:val="Standard"/>
    <w:uiPriority w:val="39"/>
    <w:unhideWhenUsed/>
    <w:pPr>
      <w:ind w:left="442"/>
    </w:pPr>
  </w:style>
  <w:style w:type="paragraph" w:styleId="Verzeichnis5">
    <w:name w:val="toc 5"/>
    <w:basedOn w:val="Verzeichnis4"/>
    <w:next w:val="Standard"/>
    <w:uiPriority w:val="39"/>
    <w:unhideWhenUsed/>
    <w:pPr>
      <w:ind w:left="879"/>
    </w:pPr>
  </w:style>
  <w:style w:type="paragraph" w:styleId="Verzeichnis6">
    <w:name w:val="toc 6"/>
    <w:basedOn w:val="Verzeichnis5"/>
    <w:next w:val="Standard"/>
    <w:uiPriority w:val="39"/>
    <w:unhideWhenUsed/>
    <w:pPr>
      <w:ind w:left="1100"/>
    </w:pPr>
  </w:style>
  <w:style w:type="paragraph" w:styleId="Verzeichnis7">
    <w:name w:val="toc 7"/>
    <w:basedOn w:val="Verzeichnis6"/>
    <w:next w:val="Standard"/>
    <w:uiPriority w:val="39"/>
    <w:unhideWhenUsed/>
    <w:pPr>
      <w:ind w:left="1321"/>
    </w:pPr>
  </w:style>
  <w:style w:type="paragraph" w:styleId="Verzeichnis8">
    <w:name w:val="toc 8"/>
    <w:basedOn w:val="Verzeichnis7"/>
    <w:next w:val="Standard"/>
    <w:uiPriority w:val="39"/>
    <w:unhideWhenUsed/>
    <w:pPr>
      <w:ind w:left="1542"/>
    </w:pPr>
  </w:style>
  <w:style w:type="paragraph" w:styleId="Verzeichnis9">
    <w:name w:val="toc 9"/>
    <w:basedOn w:val="Verzeichnis8"/>
    <w:next w:val="Standard"/>
    <w:uiPriority w:val="39"/>
    <w:unhideWhenUsed/>
    <w:pPr>
      <w:ind w:left="1758"/>
    </w:pPr>
  </w:style>
  <w:style w:type="paragraph" w:styleId="Verzeichnis4">
    <w:name w:val="toc 4"/>
    <w:basedOn w:val="Verzeichnis3"/>
    <w:next w:val="Standard"/>
    <w:uiPriority w:val="39"/>
    <w:unhideWhenUsed/>
    <w:pPr>
      <w:ind w:left="658"/>
    </w:pPr>
  </w:style>
  <w:style w:type="character" w:customStyle="1" w:styleId="berschrift2Zchn">
    <w:name w:val="Überschrift 2 Zchn"/>
    <w:aliases w:val="Zwischenüberschrift Zchn"/>
    <w:basedOn w:val="Absatz-Standardschriftart"/>
    <w:link w:val="berschrift2"/>
    <w:rPr>
      <w:rFonts w:asciiTheme="majorHAnsi" w:eastAsiaTheme="majorEastAsia" w:hAnsiTheme="majorHAnsi" w:cstheme="majorBidi"/>
      <w:kern w:val="12"/>
      <w:szCs w:val="26"/>
    </w:rPr>
  </w:style>
  <w:style w:type="character" w:customStyle="1" w:styleId="berschrift3Zchn">
    <w:name w:val="Überschrift 3 Zchn"/>
    <w:basedOn w:val="Absatz-Standardschriftart"/>
    <w:link w:val="berschrift3"/>
    <w:uiPriority w:val="24"/>
    <w:semiHidden/>
    <w:rPr>
      <w:rFonts w:asciiTheme="majorHAnsi" w:eastAsiaTheme="majorEastAsia" w:hAnsiTheme="majorHAnsi" w:cstheme="majorBidi"/>
      <w:kern w:val="12"/>
      <w:szCs w:val="24"/>
    </w:rPr>
  </w:style>
  <w:style w:type="character" w:customStyle="1" w:styleId="berschrift4Zchn">
    <w:name w:val="Überschrift 4 Zchn"/>
    <w:basedOn w:val="Absatz-Standardschriftart"/>
    <w:link w:val="berschrift4"/>
    <w:uiPriority w:val="24"/>
    <w:semiHidden/>
    <w:rPr>
      <w:rFonts w:asciiTheme="majorHAnsi" w:eastAsiaTheme="majorEastAsia" w:hAnsiTheme="majorHAnsi" w:cstheme="majorBidi"/>
      <w:iCs/>
      <w:kern w:val="12"/>
    </w:rPr>
  </w:style>
  <w:style w:type="character" w:customStyle="1" w:styleId="berschrift5Zchn">
    <w:name w:val="Überschrift 5 Zchn"/>
    <w:basedOn w:val="Absatz-Standardschriftart"/>
    <w:link w:val="berschrift5"/>
    <w:uiPriority w:val="24"/>
    <w:semiHidden/>
    <w:rPr>
      <w:rFonts w:asciiTheme="majorHAnsi" w:eastAsiaTheme="majorEastAsia" w:hAnsiTheme="majorHAnsi" w:cstheme="majorBidi"/>
      <w:kern w:val="12"/>
    </w:rPr>
  </w:style>
  <w:style w:type="character" w:customStyle="1" w:styleId="berschrift6Zchn">
    <w:name w:val="Überschrift 6 Zchn"/>
    <w:basedOn w:val="Absatz-Standardschriftart"/>
    <w:link w:val="berschrift6"/>
    <w:uiPriority w:val="24"/>
    <w:semiHidden/>
    <w:rPr>
      <w:rFonts w:asciiTheme="majorHAnsi" w:eastAsiaTheme="majorEastAsia" w:hAnsiTheme="majorHAnsi" w:cstheme="majorBidi"/>
      <w:kern w:val="12"/>
    </w:rPr>
  </w:style>
  <w:style w:type="character" w:customStyle="1" w:styleId="berschrift7Zchn">
    <w:name w:val="Überschrift 7 Zchn"/>
    <w:basedOn w:val="Absatz-Standardschriftart"/>
    <w:link w:val="berschrift7"/>
    <w:uiPriority w:val="24"/>
    <w:semiHidden/>
    <w:rPr>
      <w:rFonts w:asciiTheme="majorHAnsi" w:eastAsiaTheme="majorEastAsia" w:hAnsiTheme="majorHAnsi" w:cstheme="majorBidi"/>
      <w:iCs/>
      <w:kern w:val="12"/>
    </w:rPr>
  </w:style>
  <w:style w:type="character" w:customStyle="1" w:styleId="berschrift8Zchn">
    <w:name w:val="Überschrift 8 Zchn"/>
    <w:basedOn w:val="Absatz-Standardschriftart"/>
    <w:link w:val="berschrift8"/>
    <w:uiPriority w:val="24"/>
    <w:semiHidden/>
    <w:rPr>
      <w:rFonts w:asciiTheme="majorHAnsi" w:eastAsiaTheme="majorEastAsia" w:hAnsiTheme="majorHAnsi" w:cstheme="majorBidi"/>
      <w:kern w:val="12"/>
      <w:szCs w:val="21"/>
    </w:rPr>
  </w:style>
  <w:style w:type="character" w:customStyle="1" w:styleId="berschrift9Zchn">
    <w:name w:val="Überschrift 9 Zchn"/>
    <w:basedOn w:val="Absatz-Standardschriftart"/>
    <w:link w:val="berschrift9"/>
    <w:uiPriority w:val="24"/>
    <w:semiHidden/>
    <w:rPr>
      <w:rFonts w:asciiTheme="majorHAnsi" w:eastAsiaTheme="majorEastAsia" w:hAnsiTheme="majorHAnsi" w:cstheme="majorBidi"/>
      <w:iCs/>
      <w:kern w:val="12"/>
      <w:szCs w:val="21"/>
    </w:rPr>
  </w:style>
  <w:style w:type="paragraph" w:styleId="Funotentext">
    <w:name w:val="footnote text"/>
    <w:basedOn w:val="Standard"/>
    <w:link w:val="FunotentextZchn"/>
    <w:uiPriority w:val="99"/>
    <w:pPr>
      <w:spacing w:after="0"/>
    </w:pPr>
  </w:style>
  <w:style w:type="character" w:customStyle="1" w:styleId="FunotentextZchn">
    <w:name w:val="Fußnotentext Zchn"/>
    <w:basedOn w:val="Absatz-Standardschriftart"/>
    <w:link w:val="Funotentext"/>
    <w:uiPriority w:val="99"/>
  </w:style>
  <w:style w:type="character" w:styleId="Funotenzeichen">
    <w:name w:val="footnote reference"/>
    <w:basedOn w:val="Absatz-Standardschriftart"/>
    <w:uiPriority w:val="99"/>
    <w:rPr>
      <w:vertAlign w:val="superscript"/>
    </w:rPr>
  </w:style>
  <w:style w:type="paragraph" w:styleId="Endnotentext">
    <w:name w:val="endnote text"/>
    <w:basedOn w:val="Standard"/>
    <w:link w:val="EndnotentextZchn"/>
    <w:uiPriority w:val="99"/>
  </w:style>
  <w:style w:type="character" w:customStyle="1" w:styleId="EndnotentextZchn">
    <w:name w:val="Endnotentext Zchn"/>
    <w:basedOn w:val="Absatz-Standardschriftart"/>
    <w:link w:val="Endnotentext"/>
    <w:uiPriority w:val="99"/>
  </w:style>
  <w:style w:type="character" w:styleId="Endnotenzeichen">
    <w:name w:val="endnote reference"/>
    <w:basedOn w:val="Absatz-Standardschriftart"/>
    <w:uiPriority w:val="99"/>
    <w:rPr>
      <w:vertAlign w:val="superscript"/>
    </w:rPr>
  </w:style>
  <w:style w:type="paragraph" w:customStyle="1" w:styleId="zzFootnoteSeparator">
    <w:name w:val="zz_FootnoteSeparator"/>
    <w:basedOn w:val="Standard"/>
    <w:uiPriority w:val="99"/>
    <w:pPr>
      <w:spacing w:after="0" w:line="240" w:lineRule="auto"/>
    </w:pPr>
  </w:style>
  <w:style w:type="paragraph" w:customStyle="1" w:styleId="zzFootnoteContinuationSeparator">
    <w:name w:val="zz_FootnoteContinuationSeparator"/>
    <w:basedOn w:val="zzFootnoteSeparator"/>
    <w:uiPriority w:val="99"/>
  </w:style>
  <w:style w:type="paragraph" w:customStyle="1" w:styleId="zzFootnoteContinuationNote">
    <w:name w:val="zz_FootnoteContinuationNote"/>
    <w:basedOn w:val="Funotentext"/>
    <w:uiPriority w:val="99"/>
    <w:pPr>
      <w:numPr>
        <w:numId w:val="14"/>
      </w:numPr>
    </w:pPr>
  </w:style>
  <w:style w:type="paragraph" w:customStyle="1" w:styleId="zzEndnoteSeparator">
    <w:name w:val="zz_EndnoteSeparator"/>
    <w:basedOn w:val="zzFootnoteSeparator"/>
    <w:uiPriority w:val="99"/>
  </w:style>
  <w:style w:type="paragraph" w:customStyle="1" w:styleId="zzEndnoteContinuationSeparator">
    <w:name w:val="zz_EndnoteContinuationSeparator"/>
    <w:basedOn w:val="zzEndnoteSeparator"/>
    <w:uiPriority w:val="99"/>
  </w:style>
  <w:style w:type="paragraph" w:customStyle="1" w:styleId="zzEndnoteContinuationNote">
    <w:name w:val="zz_EndnoteContinuationNote"/>
    <w:basedOn w:val="zzFootnoteContinuationNote"/>
    <w:uiPriority w:val="99"/>
  </w:style>
  <w:style w:type="paragraph" w:customStyle="1" w:styleId="zzLetterheadSpacer">
    <w:name w:val="zz_LetterheadSpacer"/>
    <w:basedOn w:val="Kopfzeile"/>
    <w:uiPriority w:val="99"/>
    <w:semiHidden/>
    <w:pPr>
      <w:framePr w:w="9072" w:h="2268" w:hRule="exact" w:wrap="notBeside" w:hAnchor="margin" w:y="1" w:anchorLock="1"/>
      <w:spacing w:line="190" w:lineRule="atLeast"/>
    </w:pPr>
  </w:style>
  <w:style w:type="character" w:styleId="Hyperlink">
    <w:name w:val="Hyperlink"/>
    <w:basedOn w:val="Absatz-Standardschriftart"/>
    <w:uiPriority w:val="99"/>
    <w:rPr>
      <w:color w:val="auto"/>
      <w:u w:val="single"/>
    </w:rPr>
  </w:style>
  <w:style w:type="character" w:styleId="BesuchterLink">
    <w:name w:val="FollowedHyperlink"/>
    <w:basedOn w:val="Absatz-Standardschriftart"/>
    <w:uiPriority w:val="99"/>
    <w:rPr>
      <w:color w:val="auto"/>
      <w:u w:val="single"/>
    </w:rPr>
  </w:style>
  <w:style w:type="character" w:styleId="Hervorhebung">
    <w:name w:val="Emphasis"/>
    <w:basedOn w:val="Absatz-Standardschriftart"/>
    <w:uiPriority w:val="3"/>
    <w:qFormat/>
    <w:rPr>
      <w:i/>
      <w:iCs/>
    </w:rPr>
  </w:style>
  <w:style w:type="paragraph" w:styleId="Unterschrift">
    <w:name w:val="Signature"/>
    <w:basedOn w:val="Standard"/>
    <w:link w:val="UnterschriftZchn"/>
    <w:uiPriority w:val="99"/>
    <w:semiHidden/>
  </w:style>
  <w:style w:type="character" w:customStyle="1" w:styleId="UnterschriftZchn">
    <w:name w:val="Unterschrift Zchn"/>
    <w:basedOn w:val="Absatz-Standardschriftart"/>
    <w:link w:val="Unterschrift"/>
    <w:uiPriority w:val="99"/>
    <w:semiHidden/>
  </w:style>
  <w:style w:type="character" w:styleId="Seitenzahl">
    <w:name w:val="page number"/>
    <w:basedOn w:val="Absatz-Standardschriftart"/>
    <w:uiPriority w:val="99"/>
    <w:semiHidden/>
    <w:unhideWhenUsed/>
  </w:style>
  <w:style w:type="paragraph" w:customStyle="1" w:styleId="Einzug2">
    <w:name w:val="Einzug 2"/>
    <w:basedOn w:val="Standard"/>
    <w:pPr>
      <w:numPr>
        <w:ilvl w:val="1"/>
        <w:numId w:val="15"/>
      </w:numPr>
      <w:spacing w:after="0" w:line="360" w:lineRule="auto"/>
      <w:jc w:val="both"/>
    </w:pPr>
    <w:rPr>
      <w:rFonts w:ascii="Arial" w:eastAsia="Times New Roman" w:hAnsi="Arial" w:cs="Times New Roman"/>
      <w:kern w:val="0"/>
      <w:sz w:val="22"/>
      <w:szCs w:val="22"/>
      <w:lang w:eastAsia="de-DE"/>
      <w14:ligatures w14:val="none"/>
    </w:rPr>
  </w:style>
  <w:style w:type="paragraph" w:customStyle="1" w:styleId="Einzug3">
    <w:name w:val="Einzug 3"/>
    <w:basedOn w:val="Einzug2"/>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AKV AllerLand">
      <a:majorFont>
        <a:latin typeface="Arial Rounded MT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11460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Herkunft und Bedeutung des Lorem ipsum-Textes (Titel)</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Herkunft und Bedeutung des Lorem ipsum-Textes (Titel)</dc:title>
  <dc:subject/>
  <dc:creator>Kristen Stock</dc:creator>
  <cp:keywords/>
  <dc:description/>
  <cp:lastModifiedBy>Lakemann, Leonie</cp:lastModifiedBy>
  <cp:revision>2</cp:revision>
  <cp:lastPrinted>2025-11-20T09:08:00Z</cp:lastPrinted>
  <dcterms:created xsi:type="dcterms:W3CDTF">2026-07-15T09:15:00Z</dcterms:created>
  <dcterms:modified xsi:type="dcterms:W3CDTF">2026-07-15T09:15:00Z</dcterms:modified>
</cp:coreProperties>
</file>